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1058" w14:textId="6AC006C4" w:rsidR="00EF10FD" w:rsidRPr="0076115E" w:rsidRDefault="00945DFA" w:rsidP="007F7C71">
      <w:pPr>
        <w:rPr>
          <w:rFonts w:cs="Arial"/>
          <w:b/>
          <w:sz w:val="36"/>
        </w:rPr>
      </w:pPr>
      <w:r w:rsidRPr="0076115E">
        <w:rPr>
          <w:rFonts w:cs="Arial"/>
          <w:b/>
          <w:sz w:val="36"/>
        </w:rPr>
        <w:t>Treasurer</w:t>
      </w:r>
    </w:p>
    <w:p w14:paraId="2368D670" w14:textId="77777777" w:rsidR="00EF10FD" w:rsidRPr="0076115E" w:rsidRDefault="00EF10FD" w:rsidP="007F7C71">
      <w:pPr>
        <w:rPr>
          <w:rFonts w:cs="Arial"/>
          <w:b/>
        </w:rPr>
      </w:pPr>
    </w:p>
    <w:p w14:paraId="5BD97462" w14:textId="0B70F9F8" w:rsidR="00527A0B" w:rsidRPr="0076115E" w:rsidRDefault="005A3B2D" w:rsidP="00527A0B">
      <w:pPr>
        <w:rPr>
          <w:rFonts w:cs="Arial"/>
          <w:sz w:val="22"/>
          <w:szCs w:val="22"/>
        </w:rPr>
      </w:pPr>
      <w:r w:rsidRPr="0076115E">
        <w:rPr>
          <w:rFonts w:cs="Arial"/>
          <w:b/>
          <w:sz w:val="22"/>
          <w:szCs w:val="22"/>
        </w:rPr>
        <w:t>Duration</w:t>
      </w:r>
      <w:r w:rsidRPr="0076115E">
        <w:rPr>
          <w:rFonts w:cs="Arial"/>
          <w:b/>
          <w:sz w:val="22"/>
          <w:szCs w:val="22"/>
        </w:rPr>
        <w:tab/>
      </w:r>
      <w:r w:rsidR="00062BEC" w:rsidRPr="0076115E">
        <w:rPr>
          <w:rFonts w:cs="Arial"/>
          <w:b/>
          <w:sz w:val="22"/>
          <w:szCs w:val="22"/>
        </w:rPr>
        <w:tab/>
      </w:r>
      <w:r w:rsidR="003C4CEC" w:rsidRPr="0076115E">
        <w:rPr>
          <w:rFonts w:cs="Arial"/>
          <w:sz w:val="22"/>
          <w:szCs w:val="22"/>
        </w:rPr>
        <w:t>12-</w:t>
      </w:r>
      <w:r w:rsidR="00527A0B" w:rsidRPr="0076115E">
        <w:rPr>
          <w:rFonts w:cs="Arial"/>
          <w:sz w:val="22"/>
          <w:szCs w:val="22"/>
        </w:rPr>
        <w:t>month term</w:t>
      </w:r>
    </w:p>
    <w:p w14:paraId="4052BFE0" w14:textId="77777777" w:rsidR="00527A0B" w:rsidRPr="0076115E" w:rsidRDefault="00527A0B" w:rsidP="00527A0B">
      <w:pPr>
        <w:ind w:left="2160" w:hanging="2160"/>
        <w:rPr>
          <w:rFonts w:cs="Arial"/>
          <w:sz w:val="22"/>
          <w:szCs w:val="22"/>
        </w:rPr>
      </w:pPr>
      <w:r w:rsidRPr="0076115E">
        <w:rPr>
          <w:rFonts w:cs="Arial"/>
          <w:b/>
          <w:sz w:val="22"/>
          <w:szCs w:val="22"/>
        </w:rPr>
        <w:t>Hours</w:t>
      </w:r>
      <w:r w:rsidRPr="0076115E">
        <w:rPr>
          <w:rFonts w:cs="Arial"/>
          <w:b/>
          <w:sz w:val="22"/>
          <w:szCs w:val="22"/>
        </w:rPr>
        <w:tab/>
      </w:r>
      <w:r w:rsidRPr="0076115E">
        <w:rPr>
          <w:rFonts w:cs="Arial"/>
          <w:sz w:val="22"/>
          <w:szCs w:val="22"/>
        </w:rPr>
        <w:t>Minimum 15 hours a week, 52 weeks a year</w:t>
      </w:r>
    </w:p>
    <w:p w14:paraId="4197B9E9" w14:textId="77777777" w:rsidR="00527A0B" w:rsidRPr="0076115E" w:rsidRDefault="00527A0B" w:rsidP="00527A0B">
      <w:pPr>
        <w:pStyle w:val="NormalWeb"/>
        <w:spacing w:before="0" w:beforeAutospacing="0" w:after="0" w:afterAutospacing="0"/>
        <w:rPr>
          <w:rFonts w:asciiTheme="minorHAnsi" w:hAnsiTheme="minorHAnsi"/>
          <w:bCs/>
          <w:color w:val="000000"/>
          <w:sz w:val="22"/>
          <w:szCs w:val="22"/>
        </w:rPr>
      </w:pPr>
      <w:r w:rsidRPr="0076115E">
        <w:rPr>
          <w:rFonts w:asciiTheme="minorHAnsi" w:hAnsiTheme="minorHAnsi" w:cs="Arial"/>
          <w:b/>
          <w:sz w:val="22"/>
          <w:szCs w:val="22"/>
        </w:rPr>
        <w:t>Location</w:t>
      </w:r>
      <w:r w:rsidRPr="0076115E">
        <w:rPr>
          <w:rFonts w:asciiTheme="minorHAnsi" w:hAnsiTheme="minorHAnsi" w:cs="Arial"/>
          <w:sz w:val="22"/>
          <w:szCs w:val="22"/>
        </w:rPr>
        <w:tab/>
      </w:r>
      <w:r w:rsidRPr="0076115E">
        <w:rPr>
          <w:rFonts w:asciiTheme="minorHAnsi" w:hAnsiTheme="minorHAnsi" w:cs="Arial"/>
          <w:sz w:val="22"/>
          <w:szCs w:val="22"/>
        </w:rPr>
        <w:tab/>
        <w:t xml:space="preserve">PARSA Office, </w:t>
      </w:r>
      <w:r w:rsidRPr="0076115E">
        <w:rPr>
          <w:rFonts w:asciiTheme="minorHAnsi" w:hAnsiTheme="minorHAnsi"/>
          <w:bCs/>
          <w:color w:val="000000"/>
          <w:sz w:val="22"/>
          <w:szCs w:val="22"/>
        </w:rPr>
        <w:t>Melville Hall</w:t>
      </w:r>
    </w:p>
    <w:p w14:paraId="74C3E8B2" w14:textId="21E86598" w:rsidR="00527A0B" w:rsidRPr="0076115E" w:rsidRDefault="00527A0B" w:rsidP="00527A0B">
      <w:pPr>
        <w:pStyle w:val="Default"/>
        <w:ind w:left="2160" w:hanging="2160"/>
        <w:rPr>
          <w:rFonts w:asciiTheme="minorHAnsi" w:eastAsiaTheme="minorHAnsi" w:hAnsiTheme="minorHAnsi" w:cs="Calibri"/>
          <w:sz w:val="22"/>
          <w:szCs w:val="22"/>
          <w:lang w:val="en-AU"/>
        </w:rPr>
      </w:pPr>
      <w:r w:rsidRPr="0076115E">
        <w:rPr>
          <w:rFonts w:asciiTheme="minorHAnsi" w:hAnsiTheme="minorHAnsi"/>
          <w:b/>
          <w:sz w:val="22"/>
          <w:szCs w:val="22"/>
        </w:rPr>
        <w:t>Compensation*</w:t>
      </w:r>
      <w:r w:rsidRPr="0076115E">
        <w:rPr>
          <w:rFonts w:asciiTheme="minorHAnsi" w:hAnsiTheme="minorHAnsi"/>
          <w:b/>
          <w:sz w:val="22"/>
          <w:szCs w:val="22"/>
        </w:rPr>
        <w:tab/>
      </w:r>
      <w:r w:rsidR="00B430E0" w:rsidRPr="0076115E">
        <w:rPr>
          <w:rFonts w:asciiTheme="minorHAnsi" w:hAnsiTheme="minorHAnsi"/>
          <w:sz w:val="22"/>
          <w:szCs w:val="22"/>
        </w:rPr>
        <w:t>Traditionally receives H</w:t>
      </w:r>
      <w:r w:rsidR="00B430E0" w:rsidRPr="0076115E">
        <w:rPr>
          <w:rFonts w:asciiTheme="minorHAnsi" w:hAnsiTheme="minorHAnsi" w:cs="Calibri"/>
          <w:sz w:val="22"/>
          <w:szCs w:val="22"/>
          <w:lang w:val="en-AU"/>
        </w:rPr>
        <w:t>onoraria</w:t>
      </w:r>
      <w:r w:rsidRPr="0076115E">
        <w:rPr>
          <w:rFonts w:asciiTheme="minorHAnsi" w:hAnsiTheme="minorHAnsi" w:cs="Calibri"/>
          <w:sz w:val="22"/>
          <w:szCs w:val="22"/>
          <w:lang w:val="en-AU"/>
        </w:rPr>
        <w:t xml:space="preserve"> payment</w:t>
      </w:r>
    </w:p>
    <w:p w14:paraId="17AA8E18" w14:textId="77777777" w:rsidR="00EF10FD" w:rsidRPr="0076115E" w:rsidRDefault="00EF10FD" w:rsidP="007F7C71">
      <w:pPr>
        <w:pStyle w:val="NormalWeb"/>
        <w:spacing w:before="0" w:beforeAutospacing="0" w:after="0" w:afterAutospacing="0"/>
        <w:rPr>
          <w:rFonts w:asciiTheme="minorHAnsi" w:hAnsiTheme="minorHAnsi"/>
          <w:b/>
          <w:color w:val="000000"/>
        </w:rPr>
      </w:pPr>
    </w:p>
    <w:p w14:paraId="0519DADB" w14:textId="71F279D8" w:rsidR="0039017B" w:rsidRPr="0076115E" w:rsidRDefault="0039017B" w:rsidP="007F7C71">
      <w:pPr>
        <w:pStyle w:val="NormalWeb"/>
        <w:spacing w:before="0" w:beforeAutospacing="0" w:after="0" w:afterAutospacing="0"/>
        <w:rPr>
          <w:rFonts w:asciiTheme="minorHAnsi" w:hAnsiTheme="minorHAnsi"/>
          <w:b/>
          <w:color w:val="000000"/>
        </w:rPr>
      </w:pPr>
      <w:r w:rsidRPr="0076115E">
        <w:rPr>
          <w:rFonts w:asciiTheme="minorHAnsi" w:hAnsiTheme="minorHAnsi"/>
          <w:b/>
          <w:color w:val="000000"/>
        </w:rPr>
        <w:t xml:space="preserve">About </w:t>
      </w:r>
      <w:r w:rsidR="00D14C5A" w:rsidRPr="0076115E">
        <w:rPr>
          <w:rFonts w:asciiTheme="minorHAnsi" w:hAnsiTheme="minorHAnsi"/>
          <w:b/>
          <w:color w:val="000000"/>
        </w:rPr>
        <w:t>PARSA</w:t>
      </w:r>
      <w:r w:rsidRPr="0076115E">
        <w:rPr>
          <w:rFonts w:asciiTheme="minorHAnsi" w:hAnsiTheme="minorHAnsi"/>
          <w:b/>
          <w:color w:val="000000"/>
        </w:rPr>
        <w:t xml:space="preserve"> </w:t>
      </w:r>
    </w:p>
    <w:p w14:paraId="71D5CE9D" w14:textId="77777777" w:rsidR="00527A0B" w:rsidRPr="0076115E" w:rsidRDefault="00527A0B" w:rsidP="00527A0B">
      <w:pPr>
        <w:pStyle w:val="Default"/>
        <w:rPr>
          <w:rFonts w:asciiTheme="minorHAnsi" w:eastAsiaTheme="minorHAnsi" w:hAnsiTheme="minorHAnsi" w:cs="Times New Roman"/>
          <w:sz w:val="22"/>
          <w:szCs w:val="22"/>
          <w:lang w:val="en-AU"/>
        </w:rPr>
      </w:pPr>
      <w:r w:rsidRPr="0076115E">
        <w:rPr>
          <w:rFonts w:asciiTheme="minorHAnsi" w:hAnsiTheme="minorHAnsi"/>
          <w:sz w:val="22"/>
          <w:szCs w:val="22"/>
        </w:rPr>
        <w:t xml:space="preserve">The ANU Postgraduate and Research Students’ Association is the officially recognized body representing all postgraduate students enrolled at Australian National University. It works to the following vision: </w:t>
      </w:r>
      <w:r w:rsidRPr="0076115E">
        <w:rPr>
          <w:rFonts w:asciiTheme="minorHAnsi" w:eastAsiaTheme="minorHAnsi" w:hAnsiTheme="minorHAnsi" w:cs="Times New Roman"/>
          <w:sz w:val="22"/>
          <w:szCs w:val="22"/>
          <w:lang w:val="en-AU"/>
        </w:rPr>
        <w:t xml:space="preserve">to be an inclusive, diverse, and representative community of postgraduate students who advocate for students as well as enrich the student experience for all. </w:t>
      </w:r>
    </w:p>
    <w:p w14:paraId="50F3D0B7" w14:textId="77777777" w:rsidR="00D85567" w:rsidRPr="0076115E" w:rsidRDefault="00D85567" w:rsidP="00527A0B">
      <w:pPr>
        <w:pStyle w:val="Default"/>
        <w:rPr>
          <w:rFonts w:asciiTheme="minorHAnsi" w:eastAsiaTheme="minorHAnsi" w:hAnsiTheme="minorHAnsi" w:cs="Times New Roman"/>
          <w:sz w:val="22"/>
          <w:szCs w:val="22"/>
          <w:lang w:val="en-AU"/>
        </w:rPr>
      </w:pPr>
    </w:p>
    <w:p w14:paraId="348CC8E9" w14:textId="33E3F055" w:rsidR="00D85567" w:rsidRPr="0076115E" w:rsidRDefault="00D85567" w:rsidP="00D85567">
      <w:pPr>
        <w:autoSpaceDE w:val="0"/>
        <w:autoSpaceDN w:val="0"/>
        <w:adjustRightInd w:val="0"/>
        <w:contextualSpacing/>
        <w:rPr>
          <w:rFonts w:cs="Arial"/>
          <w:b/>
        </w:rPr>
      </w:pPr>
      <w:r w:rsidRPr="0076115E">
        <w:rPr>
          <w:rFonts w:cs="Arial"/>
          <w:b/>
        </w:rPr>
        <w:t>Role Description: Treasurer</w:t>
      </w:r>
    </w:p>
    <w:p w14:paraId="18044F44" w14:textId="4335EFDE" w:rsidR="00D85567" w:rsidRPr="0076115E" w:rsidRDefault="00D85567" w:rsidP="00D85567">
      <w:pPr>
        <w:autoSpaceDE w:val="0"/>
        <w:autoSpaceDN w:val="0"/>
        <w:adjustRightInd w:val="0"/>
        <w:contextualSpacing/>
        <w:rPr>
          <w:rFonts w:cs="Arial"/>
          <w:sz w:val="22"/>
          <w:szCs w:val="22"/>
        </w:rPr>
      </w:pPr>
      <w:r w:rsidRPr="0076115E">
        <w:rPr>
          <w:rFonts w:cs="Arial"/>
          <w:sz w:val="22"/>
          <w:szCs w:val="22"/>
        </w:rPr>
        <w:t xml:space="preserve">This is a critical, time-intensive role, primarily responsible for the financial oversight, accountability and transparency of the organization to its members. </w:t>
      </w:r>
    </w:p>
    <w:p w14:paraId="3EA8890C" w14:textId="77777777" w:rsidR="00D85567" w:rsidRPr="0076115E" w:rsidRDefault="00D85567" w:rsidP="00D85567">
      <w:pPr>
        <w:autoSpaceDE w:val="0"/>
        <w:autoSpaceDN w:val="0"/>
        <w:adjustRightInd w:val="0"/>
        <w:contextualSpacing/>
        <w:rPr>
          <w:rFonts w:cs="Arial"/>
          <w:sz w:val="22"/>
          <w:szCs w:val="22"/>
        </w:rPr>
      </w:pPr>
    </w:p>
    <w:p w14:paraId="629E72D7" w14:textId="369E6567" w:rsidR="00D85567" w:rsidRPr="0076115E" w:rsidRDefault="00D85567" w:rsidP="00D85567">
      <w:pPr>
        <w:autoSpaceDE w:val="0"/>
        <w:autoSpaceDN w:val="0"/>
        <w:adjustRightInd w:val="0"/>
        <w:contextualSpacing/>
        <w:rPr>
          <w:rFonts w:cs="Arial"/>
          <w:sz w:val="22"/>
          <w:szCs w:val="22"/>
        </w:rPr>
      </w:pPr>
      <w:r w:rsidRPr="0076115E">
        <w:rPr>
          <w:rFonts w:cs="Arial"/>
          <w:sz w:val="22"/>
          <w:szCs w:val="22"/>
        </w:rPr>
        <w:t xml:space="preserve">The successful candidate will need to hold regular office hours and be available to members, officers, and PARSA and University staff for Association-related business </w:t>
      </w:r>
      <w:r w:rsidR="00BC214C">
        <w:rPr>
          <w:rFonts w:cs="Arial"/>
          <w:sz w:val="22"/>
          <w:szCs w:val="22"/>
        </w:rPr>
        <w:t>for</w:t>
      </w:r>
      <w:r w:rsidRPr="0076115E">
        <w:rPr>
          <w:rFonts w:cs="Arial"/>
          <w:sz w:val="22"/>
          <w:szCs w:val="22"/>
        </w:rPr>
        <w:t xml:space="preserve"> 15 or more hours per week during term-time, exam periods and semester breaks.</w:t>
      </w:r>
    </w:p>
    <w:p w14:paraId="20EA3E05" w14:textId="77777777" w:rsidR="00527A0B" w:rsidRPr="0076115E" w:rsidRDefault="00527A0B" w:rsidP="00527A0B">
      <w:pPr>
        <w:pStyle w:val="Default"/>
        <w:rPr>
          <w:rFonts w:asciiTheme="minorHAnsi" w:eastAsiaTheme="minorHAnsi" w:hAnsiTheme="minorHAnsi" w:cs="Times New Roman"/>
          <w:sz w:val="22"/>
          <w:szCs w:val="22"/>
          <w:lang w:val="en-AU"/>
        </w:rPr>
      </w:pPr>
    </w:p>
    <w:p w14:paraId="079007A2" w14:textId="77777777" w:rsidR="000A6815" w:rsidRPr="003C740C" w:rsidRDefault="000A6815" w:rsidP="000A6815">
      <w:pPr>
        <w:rPr>
          <w:b/>
          <w:szCs w:val="22"/>
        </w:rPr>
      </w:pPr>
      <w:r w:rsidRPr="00D97109">
        <w:rPr>
          <w:b/>
          <w:szCs w:val="22"/>
        </w:rPr>
        <w:t>Role Description: PRC and Executive Team</w:t>
      </w:r>
    </w:p>
    <w:p w14:paraId="3B817405" w14:textId="77777777" w:rsidR="000A6815" w:rsidRPr="00D97109" w:rsidRDefault="000A6815" w:rsidP="000A6815">
      <w:pPr>
        <w:autoSpaceDE w:val="0"/>
        <w:autoSpaceDN w:val="0"/>
        <w:adjustRightInd w:val="0"/>
        <w:rPr>
          <w:rFonts w:cs="Arial"/>
          <w:sz w:val="22"/>
          <w:szCs w:val="22"/>
        </w:rPr>
      </w:pPr>
      <w:r>
        <w:rPr>
          <w:rFonts w:cs="Arial"/>
          <w:sz w:val="22"/>
          <w:szCs w:val="22"/>
        </w:rPr>
        <w:t>The Postgraduate Representative Council (PRC)</w:t>
      </w:r>
      <w:r w:rsidRPr="002274AE">
        <w:rPr>
          <w:rFonts w:cs="Arial"/>
          <w:sz w:val="22"/>
          <w:szCs w:val="22"/>
        </w:rPr>
        <w:t xml:space="preserve"> is PARSA’s governance body, and is</w:t>
      </w:r>
      <w:r w:rsidRPr="002274AE">
        <w:rPr>
          <w:rFonts w:cs="Calibri"/>
          <w:sz w:val="22"/>
          <w:szCs w:val="22"/>
          <w:lang w:val="en-AU"/>
        </w:rPr>
        <w:t xml:space="preserve"> comprised of 31 elected postgraduate students – four executive-team members, eight portfolio officers, two representatives of each college, and five general representatives. It meets every four weeks, at which council members can raise issues, and make decisions on behalf of the organisation. These meetings typically last two hours.</w:t>
      </w:r>
    </w:p>
    <w:p w14:paraId="704CB70F" w14:textId="77777777" w:rsidR="000A6815" w:rsidRPr="003C740C" w:rsidRDefault="000A6815" w:rsidP="000A6815">
      <w:pPr>
        <w:autoSpaceDE w:val="0"/>
        <w:autoSpaceDN w:val="0"/>
        <w:adjustRightInd w:val="0"/>
        <w:rPr>
          <w:rFonts w:cs="Calibri"/>
          <w:sz w:val="22"/>
          <w:szCs w:val="22"/>
          <w:lang w:val="en-AU"/>
        </w:rPr>
      </w:pPr>
      <w:r w:rsidRPr="003C740C">
        <w:rPr>
          <w:rFonts w:cs="Calibri"/>
          <w:sz w:val="22"/>
          <w:szCs w:val="22"/>
          <w:lang w:val="en-AU"/>
        </w:rPr>
        <w:t xml:space="preserve"> </w:t>
      </w:r>
    </w:p>
    <w:p w14:paraId="4A17B315" w14:textId="77777777" w:rsidR="000A6815" w:rsidRPr="003C740C" w:rsidRDefault="000A6815" w:rsidP="000A6815">
      <w:pPr>
        <w:autoSpaceDE w:val="0"/>
        <w:autoSpaceDN w:val="0"/>
        <w:adjustRightInd w:val="0"/>
        <w:contextualSpacing/>
        <w:rPr>
          <w:rFonts w:cs="Arial"/>
          <w:sz w:val="22"/>
          <w:szCs w:val="22"/>
        </w:rPr>
      </w:pPr>
      <w:r w:rsidRPr="003C740C">
        <w:rPr>
          <w:rFonts w:cs="Arial"/>
          <w:sz w:val="22"/>
          <w:szCs w:val="22"/>
        </w:rPr>
        <w:t>The Executive of the PRC is made up of the President</w:t>
      </w:r>
      <w:r>
        <w:rPr>
          <w:rFonts w:cs="Arial"/>
          <w:sz w:val="22"/>
          <w:szCs w:val="22"/>
        </w:rPr>
        <w:t xml:space="preserve"> (Chair)</w:t>
      </w:r>
      <w:r w:rsidRPr="003C740C">
        <w:rPr>
          <w:rFonts w:cs="Arial"/>
          <w:sz w:val="22"/>
          <w:szCs w:val="22"/>
        </w:rPr>
        <w:t xml:space="preserve">, Vice President, Treasurer and General Secretary, and any other PRC members selected by the President. </w:t>
      </w:r>
      <w:r w:rsidRPr="003C740C">
        <w:rPr>
          <w:sz w:val="22"/>
          <w:szCs w:val="22"/>
        </w:rPr>
        <w:t xml:space="preserve">Executive Team members </w:t>
      </w:r>
      <w:r w:rsidRPr="003C740C">
        <w:rPr>
          <w:rFonts w:cs="Times"/>
          <w:sz w:val="22"/>
          <w:szCs w:val="22"/>
          <w:lang w:val="en-GB"/>
        </w:rPr>
        <w:t xml:space="preserve">provide greater management oversight of the financial, legal and strategic activity of the organisation than that of non-Executive Team members, and contribute to the decision-making of the organisation on an operational </w:t>
      </w:r>
      <w:proofErr w:type="gramStart"/>
      <w:r w:rsidRPr="003C740C">
        <w:rPr>
          <w:rFonts w:cs="Times"/>
          <w:sz w:val="22"/>
          <w:szCs w:val="22"/>
          <w:lang w:val="en-GB"/>
        </w:rPr>
        <w:t>level.*</w:t>
      </w:r>
      <w:proofErr w:type="gramEnd"/>
      <w:r w:rsidRPr="003C740C">
        <w:rPr>
          <w:rFonts w:cs="Times"/>
          <w:sz w:val="22"/>
          <w:szCs w:val="22"/>
          <w:lang w:val="en-GB"/>
        </w:rPr>
        <w:t>*</w:t>
      </w:r>
    </w:p>
    <w:p w14:paraId="0A3E178E" w14:textId="77777777" w:rsidR="000A6815" w:rsidRPr="003C740C" w:rsidRDefault="000A6815" w:rsidP="000A6815">
      <w:pPr>
        <w:autoSpaceDE w:val="0"/>
        <w:autoSpaceDN w:val="0"/>
        <w:adjustRightInd w:val="0"/>
        <w:contextualSpacing/>
        <w:rPr>
          <w:rFonts w:cs="Arial"/>
          <w:sz w:val="22"/>
          <w:szCs w:val="22"/>
        </w:rPr>
      </w:pPr>
    </w:p>
    <w:p w14:paraId="0B1A5DC8" w14:textId="77777777" w:rsidR="000A6815" w:rsidRPr="003C740C" w:rsidRDefault="000A6815" w:rsidP="000A6815">
      <w:pPr>
        <w:autoSpaceDE w:val="0"/>
        <w:autoSpaceDN w:val="0"/>
        <w:adjustRightInd w:val="0"/>
        <w:contextualSpacing/>
        <w:rPr>
          <w:rFonts w:cs="Calibri"/>
          <w:sz w:val="22"/>
          <w:szCs w:val="22"/>
          <w:lang w:val="en-AU"/>
        </w:rPr>
      </w:pPr>
      <w:r w:rsidRPr="003C740C">
        <w:rPr>
          <w:rFonts w:cs="Arial"/>
          <w:sz w:val="22"/>
          <w:szCs w:val="22"/>
        </w:rPr>
        <w:t xml:space="preserve">Executive Team meetings are chaired by the President and attended by the Executive team, the General Manager, and any other staff or officers the President invites to attend. It typically convenes weekly, but at minimum a week or two before each PRC meeting, and when necessary. </w:t>
      </w:r>
      <w:r w:rsidRPr="003C740C">
        <w:rPr>
          <w:rFonts w:cs="Calibri"/>
          <w:sz w:val="22"/>
          <w:szCs w:val="22"/>
          <w:lang w:val="en-AU"/>
        </w:rPr>
        <w:t xml:space="preserve">These meetings usually run for two hours, with an additional 1-2 hours required to prepare and read papers ahead of the meeting. </w:t>
      </w:r>
    </w:p>
    <w:p w14:paraId="0D8C882B" w14:textId="77777777" w:rsidR="000A6815" w:rsidRPr="003C740C" w:rsidRDefault="000A6815" w:rsidP="000A6815">
      <w:pPr>
        <w:autoSpaceDE w:val="0"/>
        <w:autoSpaceDN w:val="0"/>
        <w:adjustRightInd w:val="0"/>
        <w:contextualSpacing/>
        <w:rPr>
          <w:rFonts w:cs="Calibri"/>
          <w:sz w:val="22"/>
          <w:szCs w:val="22"/>
          <w:lang w:val="en-AU"/>
        </w:rPr>
      </w:pPr>
    </w:p>
    <w:p w14:paraId="2B03F33E" w14:textId="77777777" w:rsidR="00E11263" w:rsidRPr="003C740C" w:rsidRDefault="00E11263" w:rsidP="00E11263">
      <w:pPr>
        <w:autoSpaceDE w:val="0"/>
        <w:autoSpaceDN w:val="0"/>
        <w:adjustRightInd w:val="0"/>
        <w:contextualSpacing/>
        <w:rPr>
          <w:rFonts w:cs="Arial"/>
          <w:sz w:val="22"/>
          <w:szCs w:val="22"/>
        </w:rPr>
      </w:pPr>
      <w:r>
        <w:rPr>
          <w:rFonts w:cs="Arial"/>
          <w:sz w:val="22"/>
          <w:szCs w:val="22"/>
        </w:rPr>
        <w:t>Attendance at PRC and e</w:t>
      </w:r>
      <w:r w:rsidRPr="003C740C">
        <w:rPr>
          <w:rFonts w:cs="Arial"/>
          <w:sz w:val="22"/>
          <w:szCs w:val="22"/>
        </w:rPr>
        <w:t>xecutive meetings is mandatory.</w:t>
      </w:r>
    </w:p>
    <w:p w14:paraId="23D1AECD" w14:textId="77777777" w:rsidR="000A6815" w:rsidRPr="003C740C" w:rsidRDefault="000A6815" w:rsidP="000A6815">
      <w:pPr>
        <w:autoSpaceDE w:val="0"/>
        <w:autoSpaceDN w:val="0"/>
        <w:adjustRightInd w:val="0"/>
        <w:contextualSpacing/>
        <w:rPr>
          <w:rFonts w:cs="Arial"/>
          <w:sz w:val="22"/>
          <w:szCs w:val="22"/>
        </w:rPr>
      </w:pPr>
    </w:p>
    <w:p w14:paraId="623A66CA" w14:textId="129F626F" w:rsidR="00527A0B" w:rsidRPr="0076115E" w:rsidRDefault="00527A0B" w:rsidP="00527A0B">
      <w:pPr>
        <w:autoSpaceDE w:val="0"/>
        <w:autoSpaceDN w:val="0"/>
        <w:adjustRightInd w:val="0"/>
        <w:rPr>
          <w:rFonts w:cs="Arial"/>
          <w:sz w:val="22"/>
          <w:szCs w:val="22"/>
        </w:rPr>
      </w:pPr>
    </w:p>
    <w:p w14:paraId="75864FB0" w14:textId="77777777" w:rsidR="00527A0B" w:rsidRPr="0076115E" w:rsidRDefault="00527A0B" w:rsidP="00527A0B">
      <w:pPr>
        <w:autoSpaceDE w:val="0"/>
        <w:autoSpaceDN w:val="0"/>
        <w:adjustRightInd w:val="0"/>
        <w:rPr>
          <w:rFonts w:cs="Arial"/>
          <w:sz w:val="22"/>
          <w:szCs w:val="22"/>
        </w:rPr>
      </w:pPr>
    </w:p>
    <w:p w14:paraId="3CABF9E4" w14:textId="77777777" w:rsidR="00527A0B" w:rsidRPr="0076115E" w:rsidRDefault="00527A0B" w:rsidP="00527A0B">
      <w:pPr>
        <w:autoSpaceDE w:val="0"/>
        <w:autoSpaceDN w:val="0"/>
        <w:adjustRightInd w:val="0"/>
        <w:rPr>
          <w:rFonts w:cs="Arial"/>
          <w:sz w:val="22"/>
          <w:szCs w:val="22"/>
        </w:rPr>
      </w:pPr>
    </w:p>
    <w:p w14:paraId="2C9E697C" w14:textId="77777777" w:rsidR="00527A0B" w:rsidRPr="0076115E" w:rsidRDefault="00527A0B" w:rsidP="00527A0B">
      <w:pPr>
        <w:autoSpaceDE w:val="0"/>
        <w:autoSpaceDN w:val="0"/>
        <w:adjustRightInd w:val="0"/>
        <w:rPr>
          <w:rFonts w:cs="Arial"/>
          <w:sz w:val="22"/>
          <w:szCs w:val="22"/>
        </w:rPr>
      </w:pPr>
    </w:p>
    <w:p w14:paraId="544182BA" w14:textId="77777777" w:rsidR="00527A0B" w:rsidRPr="0076115E" w:rsidRDefault="00527A0B" w:rsidP="00527A0B">
      <w:pPr>
        <w:autoSpaceDE w:val="0"/>
        <w:autoSpaceDN w:val="0"/>
        <w:adjustRightInd w:val="0"/>
        <w:rPr>
          <w:rFonts w:cs="Arial"/>
          <w:sz w:val="22"/>
          <w:szCs w:val="22"/>
        </w:rPr>
      </w:pPr>
    </w:p>
    <w:p w14:paraId="7040FAC0" w14:textId="77777777" w:rsidR="00527A0B" w:rsidRPr="0076115E" w:rsidRDefault="00527A0B" w:rsidP="00527A0B">
      <w:pPr>
        <w:autoSpaceDE w:val="0"/>
        <w:autoSpaceDN w:val="0"/>
        <w:adjustRightInd w:val="0"/>
        <w:rPr>
          <w:rFonts w:cs="Arial"/>
          <w:sz w:val="22"/>
          <w:szCs w:val="22"/>
        </w:rPr>
      </w:pPr>
    </w:p>
    <w:p w14:paraId="145DB886" w14:textId="77777777" w:rsidR="00527A0B" w:rsidRPr="0076115E" w:rsidRDefault="00527A0B" w:rsidP="00527A0B">
      <w:pPr>
        <w:autoSpaceDE w:val="0"/>
        <w:autoSpaceDN w:val="0"/>
        <w:adjustRightInd w:val="0"/>
        <w:rPr>
          <w:rFonts w:cs="Arial"/>
          <w:sz w:val="22"/>
          <w:szCs w:val="22"/>
        </w:rPr>
      </w:pPr>
      <w:bookmarkStart w:id="0" w:name="_GoBack"/>
      <w:bookmarkEnd w:id="0"/>
    </w:p>
    <w:p w14:paraId="61471C84" w14:textId="77777777" w:rsidR="009F1646" w:rsidRPr="0076115E" w:rsidRDefault="009F1646" w:rsidP="004213DE">
      <w:pPr>
        <w:pStyle w:val="Heading3"/>
      </w:pPr>
    </w:p>
    <w:tbl>
      <w:tblPr>
        <w:tblStyle w:val="TableGrid"/>
        <w:tblW w:w="10485" w:type="dxa"/>
        <w:tblLook w:val="04A0" w:firstRow="1" w:lastRow="0" w:firstColumn="1" w:lastColumn="0" w:noHBand="0" w:noVBand="1"/>
      </w:tblPr>
      <w:tblGrid>
        <w:gridCol w:w="10485"/>
      </w:tblGrid>
      <w:tr w:rsidR="009F1646" w:rsidRPr="0076115E" w14:paraId="1501D8AD" w14:textId="77777777" w:rsidTr="00527A0B">
        <w:trPr>
          <w:trHeight w:val="404"/>
        </w:trPr>
        <w:tc>
          <w:tcPr>
            <w:tcW w:w="10485" w:type="dxa"/>
            <w:shd w:val="clear" w:color="auto" w:fill="002060"/>
            <w:vAlign w:val="center"/>
          </w:tcPr>
          <w:p w14:paraId="001DDF08" w14:textId="5CCF9AA7" w:rsidR="009F1646" w:rsidRPr="0076115E" w:rsidRDefault="00E60B32" w:rsidP="00CC6C52">
            <w:pPr>
              <w:autoSpaceDE w:val="0"/>
              <w:autoSpaceDN w:val="0"/>
              <w:adjustRightInd w:val="0"/>
              <w:contextualSpacing/>
              <w:rPr>
                <w:rFonts w:asciiTheme="minorHAnsi" w:hAnsiTheme="minorHAnsi"/>
                <w:b/>
              </w:rPr>
            </w:pPr>
            <w:r w:rsidRPr="0076115E">
              <w:rPr>
                <w:rFonts w:asciiTheme="minorHAnsi" w:hAnsiTheme="minorHAnsi"/>
                <w:b/>
                <w:color w:val="FFFFFF" w:themeColor="background1"/>
              </w:rPr>
              <w:t>Treasurer</w:t>
            </w:r>
            <w:r w:rsidR="00527A0B" w:rsidRPr="0076115E">
              <w:rPr>
                <w:rFonts w:asciiTheme="minorHAnsi" w:hAnsiTheme="minorHAnsi"/>
                <w:b/>
                <w:color w:val="FFFFFF" w:themeColor="background1"/>
              </w:rPr>
              <w:t>’s</w:t>
            </w:r>
            <w:r w:rsidR="003307C0" w:rsidRPr="0076115E">
              <w:rPr>
                <w:rFonts w:asciiTheme="minorHAnsi" w:hAnsiTheme="minorHAnsi"/>
                <w:b/>
                <w:color w:val="FFFFFF" w:themeColor="background1"/>
              </w:rPr>
              <w:t xml:space="preserve"> r</w:t>
            </w:r>
            <w:r w:rsidR="009F1646" w:rsidRPr="0076115E">
              <w:rPr>
                <w:rFonts w:asciiTheme="minorHAnsi" w:hAnsiTheme="minorHAnsi"/>
                <w:b/>
                <w:color w:val="FFFFFF" w:themeColor="background1"/>
              </w:rPr>
              <w:t>esponsibilities</w:t>
            </w:r>
          </w:p>
        </w:tc>
      </w:tr>
      <w:tr w:rsidR="008B1C9A" w:rsidRPr="0076115E" w14:paraId="3869F592" w14:textId="77777777" w:rsidTr="00527A0B">
        <w:trPr>
          <w:trHeight w:val="968"/>
        </w:trPr>
        <w:tc>
          <w:tcPr>
            <w:tcW w:w="10485" w:type="dxa"/>
            <w:vAlign w:val="center"/>
          </w:tcPr>
          <w:p w14:paraId="02E2231E" w14:textId="2F821D90" w:rsidR="008B1C9A" w:rsidRPr="0076115E" w:rsidRDefault="00F2249C" w:rsidP="00BC214C">
            <w:pPr>
              <w:pStyle w:val="ListParagraph"/>
              <w:widowControl w:val="0"/>
              <w:numPr>
                <w:ilvl w:val="0"/>
                <w:numId w:val="44"/>
              </w:numPr>
              <w:overflowPunct w:val="0"/>
              <w:autoSpaceDE w:val="0"/>
              <w:autoSpaceDN w:val="0"/>
              <w:adjustRightInd w:val="0"/>
              <w:ind w:right="160"/>
              <w:jc w:val="left"/>
              <w:rPr>
                <w:rFonts w:asciiTheme="minorHAnsi" w:hAnsiTheme="minorHAnsi"/>
              </w:rPr>
            </w:pPr>
            <w:r w:rsidRPr="0076115E">
              <w:rPr>
                <w:rFonts w:asciiTheme="minorHAnsi" w:hAnsiTheme="minorHAnsi"/>
                <w:bCs/>
              </w:rPr>
              <w:t xml:space="preserve">Contribute to the organisation’s financial oversight </w:t>
            </w:r>
            <w:r w:rsidRPr="0076115E">
              <w:rPr>
                <w:rFonts w:asciiTheme="minorHAnsi" w:hAnsiTheme="minorHAnsi"/>
              </w:rPr>
              <w:t>by chairing</w:t>
            </w:r>
            <w:r w:rsidR="00BC214C">
              <w:rPr>
                <w:rFonts w:asciiTheme="minorHAnsi" w:hAnsiTheme="minorHAnsi"/>
              </w:rPr>
              <w:t xml:space="preserve"> the</w:t>
            </w:r>
            <w:r w:rsidRPr="0076115E">
              <w:rPr>
                <w:rFonts w:asciiTheme="minorHAnsi" w:hAnsiTheme="minorHAnsi"/>
              </w:rPr>
              <w:t xml:space="preserve"> </w:t>
            </w:r>
            <w:r w:rsidR="00BC214C">
              <w:rPr>
                <w:rFonts w:asciiTheme="minorHAnsi" w:hAnsiTheme="minorHAnsi"/>
              </w:rPr>
              <w:t>Finance</w:t>
            </w:r>
            <w:r w:rsidRPr="0076115E">
              <w:rPr>
                <w:rFonts w:asciiTheme="minorHAnsi" w:hAnsiTheme="minorHAnsi"/>
              </w:rPr>
              <w:t xml:space="preserve"> Committee, and </w:t>
            </w:r>
            <w:r w:rsidR="00BC214C">
              <w:rPr>
                <w:rFonts w:asciiTheme="minorHAnsi" w:hAnsiTheme="minorHAnsi"/>
              </w:rPr>
              <w:t xml:space="preserve">meeting </w:t>
            </w:r>
            <w:r w:rsidRPr="0076115E">
              <w:rPr>
                <w:rFonts w:asciiTheme="minorHAnsi" w:hAnsiTheme="minorHAnsi"/>
              </w:rPr>
              <w:t>informally at least once a week with the Financial Controller, General Manager and relevant staff to discuss financial health of the organisation.</w:t>
            </w:r>
          </w:p>
        </w:tc>
      </w:tr>
      <w:tr w:rsidR="00A26A4B" w:rsidRPr="0076115E" w14:paraId="3D2A5A10" w14:textId="77777777" w:rsidTr="00BC214C">
        <w:trPr>
          <w:trHeight w:val="853"/>
        </w:trPr>
        <w:tc>
          <w:tcPr>
            <w:tcW w:w="10485" w:type="dxa"/>
            <w:vAlign w:val="center"/>
          </w:tcPr>
          <w:p w14:paraId="752590A1" w14:textId="032ADB77" w:rsidR="00A26A4B" w:rsidRPr="0076115E" w:rsidRDefault="007A4AED" w:rsidP="00527A0B">
            <w:pPr>
              <w:pStyle w:val="ListParagraph"/>
              <w:numPr>
                <w:ilvl w:val="0"/>
                <w:numId w:val="44"/>
              </w:numPr>
              <w:autoSpaceDE w:val="0"/>
              <w:autoSpaceDN w:val="0"/>
              <w:adjustRightInd w:val="0"/>
              <w:spacing w:after="160"/>
              <w:jc w:val="left"/>
              <w:rPr>
                <w:rFonts w:asciiTheme="minorHAnsi" w:hAnsiTheme="minorHAnsi" w:cs="Calibri"/>
                <w:lang w:val="en-AU"/>
              </w:rPr>
            </w:pPr>
            <w:r w:rsidRPr="0076115E">
              <w:rPr>
                <w:rFonts w:asciiTheme="minorHAnsi" w:hAnsiTheme="minorHAnsi" w:cs="Calibri"/>
                <w:lang w:val="en-AU"/>
              </w:rPr>
              <w:t>Ensure that members of the Students’ Association have the opportunity to scrutinize PARSA’s financial records and policies by providing a monthly summary report on the organisation’s accounts at PRC meetings</w:t>
            </w:r>
            <w:r w:rsidR="00A6469A" w:rsidRPr="0076115E">
              <w:rPr>
                <w:rFonts w:asciiTheme="minorHAnsi" w:hAnsiTheme="minorHAnsi" w:cs="Calibri"/>
                <w:lang w:val="en-AU"/>
              </w:rPr>
              <w:t>.</w:t>
            </w:r>
          </w:p>
        </w:tc>
      </w:tr>
      <w:tr w:rsidR="004F25DD" w:rsidRPr="0076115E" w14:paraId="6C2C91F9" w14:textId="77777777" w:rsidTr="00527A0B">
        <w:trPr>
          <w:trHeight w:val="837"/>
        </w:trPr>
        <w:tc>
          <w:tcPr>
            <w:tcW w:w="10485" w:type="dxa"/>
            <w:vAlign w:val="center"/>
          </w:tcPr>
          <w:p w14:paraId="53FEAC80" w14:textId="5799B9BB" w:rsidR="00633B5D" w:rsidRPr="0076115E" w:rsidRDefault="00ED25A3" w:rsidP="00527A0B">
            <w:pPr>
              <w:pStyle w:val="ListParagraph"/>
              <w:numPr>
                <w:ilvl w:val="0"/>
                <w:numId w:val="44"/>
              </w:numPr>
              <w:autoSpaceDE w:val="0"/>
              <w:autoSpaceDN w:val="0"/>
              <w:adjustRightInd w:val="0"/>
              <w:spacing w:after="160"/>
              <w:jc w:val="left"/>
              <w:rPr>
                <w:rFonts w:asciiTheme="minorHAnsi" w:hAnsiTheme="minorHAnsi" w:cs="Calibri"/>
                <w:lang w:val="en-AU"/>
              </w:rPr>
            </w:pPr>
            <w:r w:rsidRPr="0076115E">
              <w:rPr>
                <w:rFonts w:asciiTheme="minorHAnsi" w:hAnsiTheme="minorHAnsi" w:cs="Calibri"/>
                <w:lang w:val="en-AU"/>
              </w:rPr>
              <w:t>Act as the primary</w:t>
            </w:r>
            <w:r w:rsidR="00106AA7" w:rsidRPr="0076115E">
              <w:rPr>
                <w:rFonts w:asciiTheme="minorHAnsi" w:hAnsiTheme="minorHAnsi" w:cs="Calibri"/>
                <w:lang w:val="en-AU"/>
              </w:rPr>
              <w:t xml:space="preserve"> PARSA</w:t>
            </w:r>
            <w:r w:rsidRPr="0076115E">
              <w:rPr>
                <w:rFonts w:asciiTheme="minorHAnsi" w:hAnsiTheme="minorHAnsi" w:cs="Calibri"/>
                <w:lang w:val="en-AU"/>
              </w:rPr>
              <w:t xml:space="preserve"> representative</w:t>
            </w:r>
            <w:r w:rsidR="00106AA7" w:rsidRPr="0076115E">
              <w:rPr>
                <w:rFonts w:asciiTheme="minorHAnsi" w:hAnsiTheme="minorHAnsi" w:cs="Calibri"/>
                <w:lang w:val="en-AU"/>
              </w:rPr>
              <w:t xml:space="preserve"> on the</w:t>
            </w:r>
            <w:r w:rsidRPr="0076115E">
              <w:rPr>
                <w:rFonts w:asciiTheme="minorHAnsi" w:hAnsiTheme="minorHAnsi" w:cs="Calibri"/>
                <w:lang w:val="en-AU"/>
              </w:rPr>
              <w:t xml:space="preserve"> funding panels of the</w:t>
            </w:r>
            <w:r w:rsidR="00106AA7" w:rsidRPr="0076115E">
              <w:rPr>
                <w:rFonts w:asciiTheme="minorHAnsi" w:hAnsiTheme="minorHAnsi" w:cs="Calibri"/>
                <w:lang w:val="en-AU"/>
              </w:rPr>
              <w:t xml:space="preserve"> Clubs and Societies</w:t>
            </w:r>
            <w:r w:rsidRPr="0076115E">
              <w:rPr>
                <w:rFonts w:asciiTheme="minorHAnsi" w:hAnsiTheme="minorHAnsi" w:cs="Calibri"/>
                <w:lang w:val="en-AU"/>
              </w:rPr>
              <w:t xml:space="preserve"> Committee, the Student Extracirricular and Enrichment Fund</w:t>
            </w:r>
            <w:r w:rsidR="00106AA7" w:rsidRPr="0076115E">
              <w:rPr>
                <w:rFonts w:asciiTheme="minorHAnsi" w:hAnsiTheme="minorHAnsi" w:cs="Calibri"/>
                <w:lang w:val="en-AU"/>
              </w:rPr>
              <w:t xml:space="preserve">, </w:t>
            </w:r>
            <w:r w:rsidR="00847E98" w:rsidRPr="0076115E">
              <w:rPr>
                <w:rFonts w:asciiTheme="minorHAnsi" w:hAnsiTheme="minorHAnsi" w:cs="Calibri"/>
                <w:lang w:val="en-AU"/>
              </w:rPr>
              <w:t>and other committees whose purpose is financial oversight.</w:t>
            </w:r>
          </w:p>
        </w:tc>
      </w:tr>
      <w:tr w:rsidR="00226AA8" w:rsidRPr="0076115E" w14:paraId="5F22B4D7" w14:textId="77777777" w:rsidTr="00527A0B">
        <w:trPr>
          <w:trHeight w:val="784"/>
        </w:trPr>
        <w:tc>
          <w:tcPr>
            <w:tcW w:w="10485" w:type="dxa"/>
            <w:vAlign w:val="center"/>
          </w:tcPr>
          <w:p w14:paraId="32F7952D" w14:textId="1DB1BAF7" w:rsidR="00226AA8" w:rsidRPr="0076115E" w:rsidRDefault="00F2249C" w:rsidP="00527A0B">
            <w:pPr>
              <w:pStyle w:val="ListParagraph"/>
              <w:numPr>
                <w:ilvl w:val="0"/>
                <w:numId w:val="44"/>
              </w:numPr>
              <w:spacing w:after="12" w:line="249" w:lineRule="auto"/>
              <w:ind w:right="5"/>
              <w:jc w:val="left"/>
              <w:rPr>
                <w:rFonts w:asciiTheme="minorHAnsi" w:hAnsiTheme="minorHAnsi"/>
              </w:rPr>
            </w:pPr>
            <w:r w:rsidRPr="0076115E">
              <w:rPr>
                <w:rFonts w:asciiTheme="minorHAnsi" w:hAnsiTheme="minorHAnsi"/>
                <w:szCs w:val="18"/>
              </w:rPr>
              <w:t>Work closely with</w:t>
            </w:r>
            <w:r w:rsidR="00A6469A" w:rsidRPr="0076115E">
              <w:rPr>
                <w:rFonts w:asciiTheme="minorHAnsi" w:hAnsiTheme="minorHAnsi"/>
                <w:szCs w:val="18"/>
              </w:rPr>
              <w:t xml:space="preserve"> the President, the</w:t>
            </w:r>
            <w:r w:rsidRPr="0076115E">
              <w:rPr>
                <w:rFonts w:asciiTheme="minorHAnsi" w:hAnsiTheme="minorHAnsi"/>
                <w:szCs w:val="18"/>
              </w:rPr>
              <w:t xml:space="preserve"> Students’ Association staff, and other newly elected PRC members </w:t>
            </w:r>
            <w:r w:rsidR="003C4CEC" w:rsidRPr="0076115E">
              <w:rPr>
                <w:rFonts w:asciiTheme="minorHAnsi" w:hAnsiTheme="minorHAnsi"/>
                <w:szCs w:val="18"/>
              </w:rPr>
              <w:t xml:space="preserve">following the election </w:t>
            </w:r>
            <w:r w:rsidRPr="0076115E">
              <w:rPr>
                <w:rFonts w:asciiTheme="minorHAnsi" w:hAnsiTheme="minorHAnsi"/>
                <w:szCs w:val="18"/>
              </w:rPr>
              <w:t>to prepare a budget proposal for the upcoming financial year.</w:t>
            </w:r>
          </w:p>
        </w:tc>
      </w:tr>
      <w:tr w:rsidR="009F1646" w:rsidRPr="0076115E" w14:paraId="7874F848" w14:textId="77777777" w:rsidTr="00527A0B">
        <w:trPr>
          <w:trHeight w:val="741"/>
        </w:trPr>
        <w:tc>
          <w:tcPr>
            <w:tcW w:w="10485" w:type="dxa"/>
            <w:vAlign w:val="center"/>
          </w:tcPr>
          <w:p w14:paraId="04E8F7BE" w14:textId="41128CFA" w:rsidR="00E36504" w:rsidRPr="0076115E" w:rsidRDefault="00EE07E7" w:rsidP="00527A0B">
            <w:pPr>
              <w:pStyle w:val="ListParagraph"/>
              <w:numPr>
                <w:ilvl w:val="0"/>
                <w:numId w:val="44"/>
              </w:numPr>
              <w:ind w:right="169"/>
              <w:jc w:val="left"/>
              <w:textAlignment w:val="center"/>
              <w:rPr>
                <w:rFonts w:asciiTheme="minorHAnsi" w:hAnsiTheme="minorHAnsi"/>
              </w:rPr>
            </w:pPr>
            <w:r w:rsidRPr="0076115E">
              <w:rPr>
                <w:rFonts w:asciiTheme="minorHAnsi" w:hAnsiTheme="minorHAnsi"/>
              </w:rPr>
              <w:t>Author,</w:t>
            </w:r>
            <w:r w:rsidR="007A4AED" w:rsidRPr="0076115E">
              <w:rPr>
                <w:rFonts w:asciiTheme="minorHAnsi" w:hAnsiTheme="minorHAnsi"/>
              </w:rPr>
              <w:t xml:space="preserve"> with the</w:t>
            </w:r>
            <w:r w:rsidRPr="0076115E">
              <w:rPr>
                <w:rFonts w:asciiTheme="minorHAnsi" w:hAnsiTheme="minorHAnsi"/>
              </w:rPr>
              <w:t xml:space="preserve"> direct support of the Financial Controller, </w:t>
            </w:r>
            <w:r w:rsidR="00B2337E" w:rsidRPr="0076115E">
              <w:rPr>
                <w:rFonts w:asciiTheme="minorHAnsi" w:hAnsiTheme="minorHAnsi"/>
              </w:rPr>
              <w:t xml:space="preserve">the </w:t>
            </w:r>
            <w:r w:rsidR="007A4AED" w:rsidRPr="0076115E">
              <w:rPr>
                <w:rFonts w:asciiTheme="minorHAnsi" w:hAnsiTheme="minorHAnsi"/>
              </w:rPr>
              <w:t xml:space="preserve">Treasurer’s </w:t>
            </w:r>
            <w:r w:rsidR="00B2337E" w:rsidRPr="0076115E">
              <w:rPr>
                <w:rFonts w:asciiTheme="minorHAnsi" w:hAnsiTheme="minorHAnsi"/>
              </w:rPr>
              <w:t xml:space="preserve">Financial </w:t>
            </w:r>
            <w:r w:rsidR="007A4AED" w:rsidRPr="0076115E">
              <w:rPr>
                <w:rFonts w:asciiTheme="minorHAnsi" w:hAnsiTheme="minorHAnsi"/>
              </w:rPr>
              <w:t>Report</w:t>
            </w:r>
            <w:r w:rsidRPr="0076115E">
              <w:rPr>
                <w:rFonts w:asciiTheme="minorHAnsi" w:hAnsiTheme="minorHAnsi"/>
              </w:rPr>
              <w:t xml:space="preserve"> </w:t>
            </w:r>
            <w:r w:rsidR="00B2337E" w:rsidRPr="0076115E">
              <w:rPr>
                <w:rFonts w:asciiTheme="minorHAnsi" w:hAnsiTheme="minorHAnsi"/>
              </w:rPr>
              <w:t>at the Annual General Meeting (AGM), including a summary of the Annual Finan</w:t>
            </w:r>
            <w:r w:rsidR="00F2249C" w:rsidRPr="0076115E">
              <w:rPr>
                <w:rFonts w:asciiTheme="minorHAnsi" w:hAnsiTheme="minorHAnsi"/>
              </w:rPr>
              <w:t>cial Statement and Audit report.</w:t>
            </w:r>
          </w:p>
        </w:tc>
      </w:tr>
      <w:tr w:rsidR="009F1646" w:rsidRPr="0076115E" w14:paraId="6EA47808" w14:textId="77777777" w:rsidTr="00527A0B">
        <w:trPr>
          <w:trHeight w:val="573"/>
        </w:trPr>
        <w:tc>
          <w:tcPr>
            <w:tcW w:w="10485" w:type="dxa"/>
            <w:vAlign w:val="center"/>
          </w:tcPr>
          <w:p w14:paraId="3A65CE34" w14:textId="09367D08" w:rsidR="009F1646" w:rsidRPr="0076115E" w:rsidRDefault="00B37C92" w:rsidP="00527A0B">
            <w:pPr>
              <w:pStyle w:val="ListParagraph"/>
              <w:numPr>
                <w:ilvl w:val="0"/>
                <w:numId w:val="29"/>
              </w:numPr>
              <w:ind w:right="169"/>
              <w:jc w:val="left"/>
              <w:textAlignment w:val="center"/>
              <w:rPr>
                <w:rFonts w:asciiTheme="minorHAnsi" w:hAnsiTheme="minorHAnsi"/>
              </w:rPr>
            </w:pPr>
            <w:r w:rsidRPr="0076115E">
              <w:rPr>
                <w:rFonts w:asciiTheme="minorHAnsi" w:hAnsiTheme="minorHAnsi"/>
              </w:rPr>
              <w:t xml:space="preserve">Provide practical </w:t>
            </w:r>
            <w:r w:rsidR="00B2337E" w:rsidRPr="0076115E">
              <w:rPr>
                <w:rFonts w:asciiTheme="minorHAnsi" w:hAnsiTheme="minorHAnsi"/>
              </w:rPr>
              <w:t>finan</w:t>
            </w:r>
            <w:r w:rsidR="00EE07E7" w:rsidRPr="0076115E">
              <w:rPr>
                <w:rFonts w:asciiTheme="minorHAnsi" w:hAnsiTheme="minorHAnsi"/>
              </w:rPr>
              <w:t xml:space="preserve">cial knowledge and signposting </w:t>
            </w:r>
            <w:r w:rsidR="00B2337E" w:rsidRPr="0076115E">
              <w:rPr>
                <w:rFonts w:asciiTheme="minorHAnsi" w:hAnsiTheme="minorHAnsi"/>
              </w:rPr>
              <w:t xml:space="preserve">for </w:t>
            </w:r>
            <w:r w:rsidR="00527A0B" w:rsidRPr="0076115E">
              <w:rPr>
                <w:rFonts w:asciiTheme="minorHAnsi" w:hAnsiTheme="minorHAnsi"/>
              </w:rPr>
              <w:t>other elected representatives,</w:t>
            </w:r>
            <w:r w:rsidR="00EE07E7" w:rsidRPr="0076115E">
              <w:rPr>
                <w:rFonts w:asciiTheme="minorHAnsi" w:hAnsiTheme="minorHAnsi"/>
              </w:rPr>
              <w:t xml:space="preserve"> clubs</w:t>
            </w:r>
            <w:r w:rsidR="00B2337E" w:rsidRPr="0076115E">
              <w:rPr>
                <w:rFonts w:asciiTheme="minorHAnsi" w:hAnsiTheme="minorHAnsi"/>
              </w:rPr>
              <w:t xml:space="preserve"> and societies. </w:t>
            </w:r>
          </w:p>
        </w:tc>
      </w:tr>
      <w:tr w:rsidR="009F1646" w:rsidRPr="0076115E" w14:paraId="5A3314C8" w14:textId="77777777" w:rsidTr="00527A0B">
        <w:trPr>
          <w:trHeight w:val="840"/>
        </w:trPr>
        <w:tc>
          <w:tcPr>
            <w:tcW w:w="10485" w:type="dxa"/>
            <w:vAlign w:val="center"/>
          </w:tcPr>
          <w:p w14:paraId="369DAE43" w14:textId="0F20C8A7" w:rsidR="009F1646" w:rsidRPr="0076115E" w:rsidRDefault="00A6469A" w:rsidP="00527A0B">
            <w:pPr>
              <w:pStyle w:val="ListParagraph"/>
              <w:numPr>
                <w:ilvl w:val="0"/>
                <w:numId w:val="29"/>
              </w:numPr>
              <w:autoSpaceDE w:val="0"/>
              <w:autoSpaceDN w:val="0"/>
              <w:adjustRightInd w:val="0"/>
              <w:ind w:right="169"/>
              <w:jc w:val="left"/>
              <w:rPr>
                <w:rFonts w:asciiTheme="minorHAnsi" w:hAnsiTheme="minorHAnsi"/>
              </w:rPr>
            </w:pPr>
            <w:r w:rsidRPr="0076115E">
              <w:rPr>
                <w:rFonts w:asciiTheme="minorHAnsi" w:hAnsiTheme="minorHAnsi"/>
              </w:rPr>
              <w:t>Act as the first point of contact for students with questions or concerns, signposting students to the Students’ Association’s council members or staff, where appropriate.</w:t>
            </w:r>
          </w:p>
        </w:tc>
      </w:tr>
      <w:tr w:rsidR="00847E98" w:rsidRPr="0076115E" w14:paraId="78D06C99" w14:textId="77777777" w:rsidTr="00BC214C">
        <w:trPr>
          <w:trHeight w:val="707"/>
        </w:trPr>
        <w:tc>
          <w:tcPr>
            <w:tcW w:w="10485" w:type="dxa"/>
            <w:vAlign w:val="center"/>
          </w:tcPr>
          <w:p w14:paraId="6E3816D2" w14:textId="3D50920F" w:rsidR="004532A7" w:rsidRPr="0076115E" w:rsidRDefault="00A6469A" w:rsidP="00527A0B">
            <w:pPr>
              <w:pStyle w:val="ListParagraph"/>
              <w:numPr>
                <w:ilvl w:val="0"/>
                <w:numId w:val="29"/>
              </w:numPr>
              <w:autoSpaceDE w:val="0"/>
              <w:autoSpaceDN w:val="0"/>
              <w:adjustRightInd w:val="0"/>
              <w:ind w:right="169"/>
              <w:jc w:val="left"/>
              <w:rPr>
                <w:rFonts w:asciiTheme="minorHAnsi" w:hAnsiTheme="minorHAnsi"/>
              </w:rPr>
            </w:pPr>
            <w:r w:rsidRPr="0076115E">
              <w:rPr>
                <w:rFonts w:asciiTheme="minorHAnsi" w:hAnsiTheme="minorHAnsi"/>
              </w:rPr>
              <w:t>Actively provide ideas and proposals</w:t>
            </w:r>
            <w:r w:rsidR="00F2249C" w:rsidRPr="0076115E">
              <w:rPr>
                <w:rFonts w:asciiTheme="minorHAnsi" w:hAnsiTheme="minorHAnsi"/>
              </w:rPr>
              <w:t xml:space="preserve"> to</w:t>
            </w:r>
            <w:r w:rsidR="00847E98" w:rsidRPr="0076115E">
              <w:rPr>
                <w:rFonts w:asciiTheme="minorHAnsi" w:hAnsiTheme="minorHAnsi"/>
              </w:rPr>
              <w:t xml:space="preserve"> officers</w:t>
            </w:r>
            <w:r w:rsidRPr="0076115E">
              <w:rPr>
                <w:rFonts w:asciiTheme="minorHAnsi" w:hAnsiTheme="minorHAnsi"/>
              </w:rPr>
              <w:t xml:space="preserve"> and staff</w:t>
            </w:r>
            <w:r w:rsidR="00847E98" w:rsidRPr="0076115E">
              <w:rPr>
                <w:rFonts w:asciiTheme="minorHAnsi" w:hAnsiTheme="minorHAnsi"/>
              </w:rPr>
              <w:t xml:space="preserve"> on ways to improve the organisation’s financial stability</w:t>
            </w:r>
            <w:r w:rsidRPr="0076115E">
              <w:rPr>
                <w:rFonts w:asciiTheme="minorHAnsi" w:hAnsiTheme="minorHAnsi"/>
              </w:rPr>
              <w:t xml:space="preserve"> and governance,</w:t>
            </w:r>
            <w:r w:rsidR="00847E98" w:rsidRPr="0076115E">
              <w:rPr>
                <w:rFonts w:asciiTheme="minorHAnsi" w:hAnsiTheme="minorHAnsi"/>
              </w:rPr>
              <w:t xml:space="preserve"> and ability to generate non-SSAF income</w:t>
            </w:r>
            <w:r w:rsidR="00F2249C" w:rsidRPr="0076115E">
              <w:rPr>
                <w:rFonts w:asciiTheme="minorHAnsi" w:hAnsiTheme="minorHAnsi"/>
              </w:rPr>
              <w:t>.</w:t>
            </w:r>
          </w:p>
        </w:tc>
      </w:tr>
      <w:tr w:rsidR="004532A7" w:rsidRPr="0076115E" w14:paraId="3C615FCC" w14:textId="77777777" w:rsidTr="00527A0B">
        <w:trPr>
          <w:trHeight w:val="722"/>
        </w:trPr>
        <w:tc>
          <w:tcPr>
            <w:tcW w:w="10485" w:type="dxa"/>
            <w:vAlign w:val="center"/>
          </w:tcPr>
          <w:p w14:paraId="4C4CE105" w14:textId="57002888" w:rsidR="004532A7" w:rsidRPr="0076115E" w:rsidRDefault="004532A7" w:rsidP="00527A0B">
            <w:pPr>
              <w:pStyle w:val="ListParagraph"/>
              <w:numPr>
                <w:ilvl w:val="0"/>
                <w:numId w:val="29"/>
              </w:numPr>
              <w:autoSpaceDE w:val="0"/>
              <w:autoSpaceDN w:val="0"/>
              <w:adjustRightInd w:val="0"/>
              <w:ind w:right="169"/>
              <w:jc w:val="left"/>
              <w:rPr>
                <w:rFonts w:asciiTheme="minorHAnsi" w:hAnsiTheme="minorHAnsi"/>
              </w:rPr>
            </w:pPr>
            <w:r w:rsidRPr="0076115E">
              <w:rPr>
                <w:rFonts w:asciiTheme="minorHAnsi" w:hAnsiTheme="minorHAnsi"/>
              </w:rPr>
              <w:t>Ensure the sustainability of PARSA through strategic financial advice, including active management of investments and diversifying revenue streams</w:t>
            </w:r>
            <w:r w:rsidR="00527A0B" w:rsidRPr="0076115E">
              <w:rPr>
                <w:rFonts w:asciiTheme="minorHAnsi" w:hAnsiTheme="minorHAnsi"/>
              </w:rPr>
              <w:t>.</w:t>
            </w:r>
          </w:p>
        </w:tc>
      </w:tr>
    </w:tbl>
    <w:p w14:paraId="74B131B1" w14:textId="77777777" w:rsidR="0022269A" w:rsidRPr="0076115E" w:rsidRDefault="0022269A" w:rsidP="007F7C71">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0A6815" w:rsidRPr="003C740C" w14:paraId="44EE7696" w14:textId="77777777" w:rsidTr="00AC2ABE">
        <w:trPr>
          <w:trHeight w:val="426"/>
        </w:trPr>
        <w:tc>
          <w:tcPr>
            <w:tcW w:w="10343" w:type="dxa"/>
            <w:shd w:val="clear" w:color="auto" w:fill="002060"/>
            <w:vAlign w:val="center"/>
          </w:tcPr>
          <w:p w14:paraId="2E9FD656" w14:textId="77777777" w:rsidR="000A6815" w:rsidRPr="003C740C" w:rsidRDefault="000A6815" w:rsidP="00AC2ABE">
            <w:pPr>
              <w:autoSpaceDE w:val="0"/>
              <w:autoSpaceDN w:val="0"/>
              <w:adjustRightInd w:val="0"/>
              <w:contextualSpacing/>
              <w:rPr>
                <w:rFonts w:asciiTheme="minorHAnsi" w:hAnsiTheme="minorHAnsi"/>
                <w:b/>
              </w:rPr>
            </w:pPr>
            <w:r w:rsidRPr="003C740C">
              <w:rPr>
                <w:rFonts w:asciiTheme="minorHAnsi" w:hAnsiTheme="minorHAnsi"/>
                <w:b/>
                <w:color w:val="FFFFFF" w:themeColor="background1"/>
              </w:rPr>
              <w:t>Officer responsibilities – applies to all Executive team and Portfolio Officers</w:t>
            </w:r>
          </w:p>
        </w:tc>
      </w:tr>
      <w:tr w:rsidR="000A6815" w:rsidRPr="003C740C" w14:paraId="6B1BDFEC" w14:textId="77777777" w:rsidTr="00AC2ABE">
        <w:trPr>
          <w:trHeight w:val="744"/>
        </w:trPr>
        <w:tc>
          <w:tcPr>
            <w:tcW w:w="10343" w:type="dxa"/>
            <w:vAlign w:val="center"/>
          </w:tcPr>
          <w:p w14:paraId="0B482E10" w14:textId="77777777" w:rsidR="000A6815" w:rsidRPr="003C740C" w:rsidRDefault="000A6815" w:rsidP="00AC2ABE">
            <w:pPr>
              <w:numPr>
                <w:ilvl w:val="0"/>
                <w:numId w:val="30"/>
              </w:numPr>
              <w:textAlignment w:val="center"/>
              <w:rPr>
                <w:rFonts w:asciiTheme="minorHAnsi" w:hAnsiTheme="minorHAnsi"/>
              </w:rPr>
            </w:pPr>
            <w:r w:rsidRPr="00F62D49">
              <w:rPr>
                <w:rFonts w:asciiTheme="minorHAnsi" w:hAnsiTheme="minorHAnsi"/>
              </w:rPr>
              <w:t xml:space="preserve">Work closely with the other Officers on Students’ Association campaigns. Some of these may relate to Officers’ objectives, but many are often reactive, depending on issues that arise throughout the year.  </w:t>
            </w:r>
            <w:r w:rsidRPr="00F62D49">
              <w:rPr>
                <w:rFonts w:asciiTheme="minorHAnsi" w:hAnsiTheme="minorHAnsi"/>
                <w:vanish/>
              </w:rPr>
              <w:t>successfully y and campaigns. o represent the views of studentsenting, facilities and services.  students in the communitys in tsuccessfully y and campaigns. o represent the views of studentsenting, facilities and services.  students in the communitys in t. fecting tly community,inburgh, as well as uch as transport, housing, facilities and services.  students in the communitys in t</w:t>
            </w:r>
          </w:p>
        </w:tc>
      </w:tr>
      <w:tr w:rsidR="000A6815" w:rsidRPr="003C740C" w14:paraId="31F9C3B4" w14:textId="77777777" w:rsidTr="00AC2ABE">
        <w:trPr>
          <w:trHeight w:val="907"/>
        </w:trPr>
        <w:tc>
          <w:tcPr>
            <w:tcW w:w="10343" w:type="dxa"/>
            <w:vAlign w:val="center"/>
          </w:tcPr>
          <w:p w14:paraId="276A3ED9" w14:textId="77777777" w:rsidR="000A6815" w:rsidRPr="003C740C" w:rsidRDefault="000A6815" w:rsidP="00AC2ABE">
            <w:pPr>
              <w:numPr>
                <w:ilvl w:val="0"/>
                <w:numId w:val="30"/>
              </w:numPr>
              <w:textAlignment w:val="center"/>
              <w:rPr>
                <w:rFonts w:asciiTheme="minorHAnsi" w:hAnsiTheme="minorHAnsi"/>
              </w:rPr>
            </w:pPr>
            <w:r w:rsidRPr="00F62D49">
              <w:rPr>
                <w:rFonts w:asciiTheme="minorHAnsi" w:hAnsiTheme="minorHAnsi"/>
                <w:bCs/>
              </w:rPr>
              <w:t xml:space="preserve">Contribute to and influence University strategies </w:t>
            </w:r>
            <w:r w:rsidRPr="00F62D49">
              <w:rPr>
                <w:rFonts w:asciiTheme="minorHAnsi" w:hAnsiTheme="minorHAnsi"/>
              </w:rPr>
              <w:t>through participation in ANU committees, PARSA campaigns, organisational working groups, and informal networking, to ensure that student interests are effectively represented.</w:t>
            </w:r>
          </w:p>
        </w:tc>
      </w:tr>
      <w:tr w:rsidR="000A6815" w:rsidRPr="003C740C" w14:paraId="002A1408" w14:textId="77777777" w:rsidTr="00AC2ABE">
        <w:trPr>
          <w:trHeight w:val="698"/>
        </w:trPr>
        <w:tc>
          <w:tcPr>
            <w:tcW w:w="10343" w:type="dxa"/>
            <w:vAlign w:val="center"/>
          </w:tcPr>
          <w:p w14:paraId="55D5A50F" w14:textId="77777777" w:rsidR="000A6815" w:rsidRPr="003C740C" w:rsidRDefault="000A6815" w:rsidP="00AC2ABE">
            <w:pPr>
              <w:numPr>
                <w:ilvl w:val="0"/>
                <w:numId w:val="30"/>
              </w:numPr>
              <w:textAlignment w:val="center"/>
              <w:rPr>
                <w:rFonts w:asciiTheme="minorHAnsi" w:hAnsiTheme="minorHAnsi"/>
              </w:rPr>
            </w:pPr>
            <w:r w:rsidRPr="00F62D49">
              <w:rPr>
                <w:rFonts w:asciiTheme="minorHAnsi" w:hAnsiTheme="minorHAnsi"/>
              </w:rPr>
              <w:t>Uphold and advance the reputation of the organisation, attending and speaking at official ANU and other relevant stakeholder events and ceremonies as appropriate (e.g. O-Week talks, graduation).</w:t>
            </w:r>
          </w:p>
        </w:tc>
      </w:tr>
      <w:tr w:rsidR="000A6815" w:rsidRPr="003C740C" w14:paraId="1F6708C4" w14:textId="77777777" w:rsidTr="00AC2ABE">
        <w:trPr>
          <w:trHeight w:val="977"/>
        </w:trPr>
        <w:tc>
          <w:tcPr>
            <w:tcW w:w="10343" w:type="dxa"/>
            <w:vAlign w:val="center"/>
          </w:tcPr>
          <w:p w14:paraId="694F39BD" w14:textId="77777777" w:rsidR="000A6815" w:rsidRPr="003C740C" w:rsidRDefault="000A6815" w:rsidP="00AC2ABE">
            <w:pPr>
              <w:pStyle w:val="ListParagraph"/>
              <w:numPr>
                <w:ilvl w:val="0"/>
                <w:numId w:val="30"/>
              </w:numPr>
              <w:jc w:val="left"/>
              <w:textAlignment w:val="center"/>
              <w:rPr>
                <w:rFonts w:asciiTheme="minorHAnsi" w:hAnsiTheme="minorHAnsi"/>
              </w:rPr>
            </w:pPr>
            <w:r w:rsidRPr="00F62D49">
              <w:rPr>
                <w:rFonts w:asciiTheme="minorHAnsi" w:hAnsiTheme="minorHAnsi"/>
              </w:rPr>
              <w:t>Support and promote PARSA activities which support the goals of the Strategic Plan (to be shortly published), including but not limited to O-Week and Welcome Week, elections outreach, face-to-face and social media engagement, membership engagement and feedback, and Students’ Association-led events.</w:t>
            </w:r>
          </w:p>
        </w:tc>
      </w:tr>
      <w:tr w:rsidR="000A6815" w:rsidRPr="003C740C" w14:paraId="6ADFC040" w14:textId="77777777" w:rsidTr="00AC2ABE">
        <w:trPr>
          <w:trHeight w:val="981"/>
        </w:trPr>
        <w:tc>
          <w:tcPr>
            <w:tcW w:w="10343" w:type="dxa"/>
            <w:vAlign w:val="center"/>
          </w:tcPr>
          <w:p w14:paraId="4EC807CA" w14:textId="77777777" w:rsidR="000A6815" w:rsidRPr="003C740C" w:rsidRDefault="000A6815" w:rsidP="00AC2ABE">
            <w:pPr>
              <w:pStyle w:val="ListParagraph"/>
              <w:numPr>
                <w:ilvl w:val="0"/>
                <w:numId w:val="30"/>
              </w:numPr>
              <w:jc w:val="left"/>
              <w:textAlignment w:val="center"/>
              <w:rPr>
                <w:rFonts w:asciiTheme="minorHAnsi" w:hAnsiTheme="minorHAnsi"/>
              </w:rPr>
            </w:pPr>
            <w:r w:rsidRPr="00F62D49">
              <w:rPr>
                <w:rFonts w:asciiTheme="minorHAnsi" w:hAnsiTheme="minorHAnsi"/>
              </w:rPr>
              <w:t>Provide regular reports on efforts to improve the lives of members, and provide opportunities to be held accountable for the progress of this work, at Executive Meetings, Postgraduate Representative Council meetings (PRC), the Annual General Meeting (AGM), and other events as necessary.</w:t>
            </w:r>
          </w:p>
        </w:tc>
      </w:tr>
      <w:tr w:rsidR="000A6815" w:rsidRPr="003C740C" w14:paraId="2281E47C" w14:textId="77777777" w:rsidTr="00AC2ABE">
        <w:trPr>
          <w:trHeight w:val="839"/>
        </w:trPr>
        <w:tc>
          <w:tcPr>
            <w:tcW w:w="10343" w:type="dxa"/>
            <w:vAlign w:val="center"/>
          </w:tcPr>
          <w:p w14:paraId="24DF385C" w14:textId="77777777" w:rsidR="000A6815" w:rsidRPr="003C740C" w:rsidRDefault="000A6815" w:rsidP="00AC2ABE">
            <w:pPr>
              <w:pStyle w:val="ListParagraph"/>
              <w:numPr>
                <w:ilvl w:val="0"/>
                <w:numId w:val="30"/>
              </w:numPr>
              <w:jc w:val="left"/>
              <w:textAlignment w:val="center"/>
              <w:rPr>
                <w:rFonts w:asciiTheme="minorHAnsi" w:hAnsiTheme="minorHAnsi"/>
              </w:rPr>
            </w:pPr>
            <w:r w:rsidRPr="00F62D49">
              <w:rPr>
                <w:rFonts w:asciiTheme="minorHAnsi" w:hAnsiTheme="minorHAnsi"/>
              </w:rPr>
              <w:t>Act as the first point of contact for students with questions or concerns, signposting students to the Students’ Association’s council members or staff, where appropriate.</w:t>
            </w:r>
          </w:p>
        </w:tc>
      </w:tr>
    </w:tbl>
    <w:p w14:paraId="6C273253" w14:textId="77777777" w:rsidR="000A6815" w:rsidRDefault="000A6815" w:rsidP="000A6815">
      <w:pPr>
        <w:autoSpaceDE w:val="0"/>
        <w:autoSpaceDN w:val="0"/>
        <w:adjustRightInd w:val="0"/>
        <w:contextualSpacing/>
        <w:rPr>
          <w:rFonts w:cs="Arial"/>
          <w:sz w:val="22"/>
          <w:szCs w:val="22"/>
        </w:rPr>
      </w:pPr>
    </w:p>
    <w:p w14:paraId="7B0A7275" w14:textId="77777777" w:rsidR="000A6815" w:rsidRDefault="000A6815" w:rsidP="000A6815">
      <w:pPr>
        <w:autoSpaceDE w:val="0"/>
        <w:autoSpaceDN w:val="0"/>
        <w:adjustRightInd w:val="0"/>
        <w:contextualSpacing/>
        <w:rPr>
          <w:rFonts w:cs="Arial"/>
          <w:sz w:val="22"/>
          <w:szCs w:val="22"/>
        </w:rPr>
      </w:pPr>
    </w:p>
    <w:p w14:paraId="5AD5F913" w14:textId="77777777" w:rsidR="000A6815" w:rsidRDefault="000A6815" w:rsidP="000A6815">
      <w:pPr>
        <w:autoSpaceDE w:val="0"/>
        <w:autoSpaceDN w:val="0"/>
        <w:adjustRightInd w:val="0"/>
        <w:contextualSpacing/>
        <w:rPr>
          <w:rFonts w:cs="Arial"/>
          <w:sz w:val="22"/>
          <w:szCs w:val="22"/>
        </w:rPr>
      </w:pPr>
    </w:p>
    <w:p w14:paraId="5DC1306E" w14:textId="77777777" w:rsidR="000A6815" w:rsidRDefault="000A6815" w:rsidP="000A6815">
      <w:pPr>
        <w:autoSpaceDE w:val="0"/>
        <w:autoSpaceDN w:val="0"/>
        <w:adjustRightInd w:val="0"/>
        <w:contextualSpacing/>
        <w:rPr>
          <w:rFonts w:cs="Arial"/>
          <w:sz w:val="22"/>
          <w:szCs w:val="22"/>
        </w:rPr>
      </w:pPr>
    </w:p>
    <w:p w14:paraId="576BE6B1" w14:textId="77777777" w:rsidR="000A6815" w:rsidRDefault="000A6815" w:rsidP="000A6815">
      <w:pPr>
        <w:autoSpaceDE w:val="0"/>
        <w:autoSpaceDN w:val="0"/>
        <w:adjustRightInd w:val="0"/>
        <w:contextualSpacing/>
        <w:rPr>
          <w:rFonts w:cs="Arial"/>
          <w:sz w:val="22"/>
          <w:szCs w:val="22"/>
        </w:rPr>
      </w:pPr>
    </w:p>
    <w:p w14:paraId="617E025E" w14:textId="77777777" w:rsidR="000A6815" w:rsidRPr="003C740C" w:rsidRDefault="000A6815" w:rsidP="000A6815">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0A6815" w:rsidRPr="003C740C" w14:paraId="609D3E57" w14:textId="77777777" w:rsidTr="00AC2ABE">
        <w:trPr>
          <w:trHeight w:val="468"/>
        </w:trPr>
        <w:tc>
          <w:tcPr>
            <w:tcW w:w="10343" w:type="dxa"/>
            <w:shd w:val="clear" w:color="auto" w:fill="002060"/>
            <w:vAlign w:val="center"/>
          </w:tcPr>
          <w:p w14:paraId="36C28CB8" w14:textId="77777777" w:rsidR="000A6815" w:rsidRPr="003C740C" w:rsidRDefault="000A6815" w:rsidP="00AC2ABE">
            <w:pPr>
              <w:autoSpaceDE w:val="0"/>
              <w:autoSpaceDN w:val="0"/>
              <w:adjustRightInd w:val="0"/>
              <w:contextualSpacing/>
              <w:rPr>
                <w:rFonts w:asciiTheme="minorHAnsi" w:hAnsiTheme="minorHAnsi"/>
                <w:b/>
              </w:rPr>
            </w:pPr>
            <w:r w:rsidRPr="003C740C">
              <w:rPr>
                <w:rFonts w:asciiTheme="minorHAnsi" w:hAnsiTheme="minorHAnsi"/>
                <w:b/>
                <w:color w:val="FFFFFF" w:themeColor="background1"/>
              </w:rPr>
              <w:t>PRC Responsibilities – applies to all 31 Council Members</w:t>
            </w:r>
          </w:p>
        </w:tc>
      </w:tr>
      <w:tr w:rsidR="000A6815" w:rsidRPr="003C740C" w14:paraId="0397BC5E" w14:textId="77777777" w:rsidTr="00AC2ABE">
        <w:trPr>
          <w:trHeight w:val="567"/>
        </w:trPr>
        <w:tc>
          <w:tcPr>
            <w:tcW w:w="10343" w:type="dxa"/>
            <w:vAlign w:val="center"/>
          </w:tcPr>
          <w:p w14:paraId="0B6D8519" w14:textId="77777777" w:rsidR="000A6815" w:rsidRPr="003C740C" w:rsidRDefault="000A6815" w:rsidP="00AC2ABE">
            <w:pPr>
              <w:numPr>
                <w:ilvl w:val="0"/>
                <w:numId w:val="31"/>
              </w:numPr>
              <w:textAlignment w:val="center"/>
              <w:rPr>
                <w:rFonts w:asciiTheme="minorHAnsi" w:hAnsiTheme="minorHAnsi"/>
              </w:rPr>
            </w:pPr>
            <w:r w:rsidRPr="00F62D49">
              <w:rPr>
                <w:rFonts w:asciiTheme="minorHAnsi" w:hAnsiTheme="minorHAnsi"/>
              </w:rPr>
              <w:t>Exercise good governance by carrying out duties with reasonable care and diligence, in good faith and in the best interests of the Association.</w:t>
            </w:r>
          </w:p>
        </w:tc>
      </w:tr>
      <w:tr w:rsidR="000A6815" w:rsidRPr="003C740C" w14:paraId="0BA6F5A7" w14:textId="77777777" w:rsidTr="00AC2ABE">
        <w:trPr>
          <w:trHeight w:val="567"/>
        </w:trPr>
        <w:tc>
          <w:tcPr>
            <w:tcW w:w="10343" w:type="dxa"/>
            <w:vAlign w:val="center"/>
          </w:tcPr>
          <w:p w14:paraId="6F222309" w14:textId="77777777" w:rsidR="000A6815" w:rsidRPr="003C740C" w:rsidRDefault="000A6815" w:rsidP="00AC2ABE">
            <w:pPr>
              <w:numPr>
                <w:ilvl w:val="0"/>
                <w:numId w:val="31"/>
              </w:numPr>
              <w:textAlignment w:val="center"/>
              <w:rPr>
                <w:rFonts w:asciiTheme="minorHAnsi" w:hAnsiTheme="minorHAnsi"/>
              </w:rPr>
            </w:pPr>
            <w:r w:rsidRPr="00F62D49">
              <w:rPr>
                <w:rFonts w:asciiTheme="minorHAnsi" w:hAnsiTheme="minorHAnsi"/>
              </w:rPr>
              <w:t xml:space="preserve">Become familiar with the </w:t>
            </w:r>
            <w:hyperlink r:id="rId7" w:history="1">
              <w:r w:rsidRPr="004C4A79">
                <w:rPr>
                  <w:rStyle w:val="Hyperlink"/>
                  <w:rFonts w:asciiTheme="minorHAnsi" w:hAnsiTheme="minorHAnsi"/>
                </w:rPr>
                <w:t>Constitution</w:t>
              </w:r>
            </w:hyperlink>
            <w:r w:rsidRPr="00F62D49">
              <w:rPr>
                <w:rFonts w:asciiTheme="minorHAnsi" w:hAnsiTheme="minorHAnsi"/>
              </w:rPr>
              <w:t xml:space="preserve">, </w:t>
            </w:r>
            <w:hyperlink r:id="rId8" w:anchor="!tabs-1" w:history="1">
              <w:r w:rsidRPr="004C4A79">
                <w:rPr>
                  <w:rStyle w:val="Hyperlink"/>
                  <w:rFonts w:asciiTheme="minorHAnsi" w:hAnsiTheme="minorHAnsi"/>
                </w:rPr>
                <w:t>relevant legislation</w:t>
              </w:r>
            </w:hyperlink>
            <w:r w:rsidRPr="00F62D49">
              <w:rPr>
                <w:rFonts w:asciiTheme="minorHAnsi" w:hAnsiTheme="minorHAnsi"/>
              </w:rPr>
              <w:t xml:space="preserve">, organisational policies and </w:t>
            </w:r>
            <w:hyperlink r:id="rId9" w:history="1">
              <w:r w:rsidRPr="004C4A79">
                <w:rPr>
                  <w:rStyle w:val="Hyperlink"/>
                  <w:rFonts w:asciiTheme="minorHAnsi" w:hAnsiTheme="minorHAnsi"/>
                </w:rPr>
                <w:t>SSAF guidelines</w:t>
              </w:r>
            </w:hyperlink>
            <w:r w:rsidRPr="00F62D49">
              <w:rPr>
                <w:rFonts w:asciiTheme="minorHAnsi" w:hAnsiTheme="minorHAnsi"/>
              </w:rPr>
              <w:t xml:space="preserve"> ahead of taking office, and ensure, with the support of staff, that both the entire Association and individual members of the PRC complies with these regulations.</w:t>
            </w:r>
          </w:p>
        </w:tc>
      </w:tr>
      <w:tr w:rsidR="000A6815" w:rsidRPr="003C740C" w14:paraId="43FB9BE4" w14:textId="77777777" w:rsidTr="00AC2ABE">
        <w:trPr>
          <w:trHeight w:val="706"/>
        </w:trPr>
        <w:tc>
          <w:tcPr>
            <w:tcW w:w="10343" w:type="dxa"/>
            <w:vAlign w:val="center"/>
          </w:tcPr>
          <w:p w14:paraId="1F2AB201" w14:textId="77777777" w:rsidR="000A6815" w:rsidRPr="003C740C" w:rsidRDefault="000A6815" w:rsidP="00AC2ABE">
            <w:pPr>
              <w:numPr>
                <w:ilvl w:val="0"/>
                <w:numId w:val="31"/>
              </w:numPr>
              <w:textAlignment w:val="center"/>
              <w:rPr>
                <w:rFonts w:asciiTheme="minorHAnsi" w:hAnsiTheme="minorHAnsi"/>
              </w:rPr>
            </w:pPr>
            <w:r w:rsidRPr="00F62D49">
              <w:rPr>
                <w:rFonts w:asciiTheme="minorHAnsi" w:hAnsiTheme="minorHAnsi"/>
              </w:rPr>
              <w:t xml:space="preserve">Provide the organisation with leadership, contribute to the development of the Students’ Association’s mission and values, and help promote and raise the profile of the organisation. </w:t>
            </w:r>
          </w:p>
        </w:tc>
      </w:tr>
      <w:tr w:rsidR="000A6815" w:rsidRPr="003C740C" w14:paraId="3D589296" w14:textId="77777777" w:rsidTr="00AC2ABE">
        <w:trPr>
          <w:trHeight w:val="684"/>
        </w:trPr>
        <w:tc>
          <w:tcPr>
            <w:tcW w:w="10343" w:type="dxa"/>
            <w:vAlign w:val="center"/>
          </w:tcPr>
          <w:p w14:paraId="26985744" w14:textId="77777777" w:rsidR="000A6815" w:rsidRPr="003C740C" w:rsidRDefault="000A6815" w:rsidP="00AC2ABE">
            <w:pPr>
              <w:pStyle w:val="ListParagraph"/>
              <w:numPr>
                <w:ilvl w:val="0"/>
                <w:numId w:val="31"/>
              </w:numPr>
              <w:jc w:val="left"/>
              <w:textAlignment w:val="center"/>
              <w:rPr>
                <w:rFonts w:asciiTheme="minorHAnsi" w:hAnsiTheme="minorHAnsi"/>
              </w:rPr>
            </w:pPr>
            <w:r w:rsidRPr="00F62D49">
              <w:rPr>
                <w:rFonts w:asciiTheme="minorHAnsi" w:hAnsiTheme="minorHAnsi"/>
              </w:rPr>
              <w:t>Play a key role in developing the organisation’s strategy, and review and agree to major changes that would significantly alter the organisation’s direction.</w:t>
            </w:r>
          </w:p>
        </w:tc>
      </w:tr>
      <w:tr w:rsidR="000A6815" w:rsidRPr="003C740C" w14:paraId="30C47FAD" w14:textId="77777777" w:rsidTr="00AC2ABE">
        <w:trPr>
          <w:trHeight w:val="713"/>
        </w:trPr>
        <w:tc>
          <w:tcPr>
            <w:tcW w:w="10343" w:type="dxa"/>
            <w:vAlign w:val="center"/>
          </w:tcPr>
          <w:p w14:paraId="09FC57E4" w14:textId="77777777" w:rsidR="000A6815" w:rsidRPr="003C740C" w:rsidRDefault="000A6815" w:rsidP="00AC2ABE">
            <w:pPr>
              <w:pStyle w:val="ListParagraph"/>
              <w:numPr>
                <w:ilvl w:val="0"/>
                <w:numId w:val="31"/>
              </w:numPr>
              <w:jc w:val="left"/>
              <w:textAlignment w:val="center"/>
              <w:rPr>
                <w:rFonts w:asciiTheme="minorHAnsi" w:hAnsiTheme="minorHAnsi"/>
              </w:rPr>
            </w:pPr>
            <w:r w:rsidRPr="00F62D49">
              <w:rPr>
                <w:rFonts w:asciiTheme="minorHAnsi" w:hAnsiTheme="minorHAnsi"/>
              </w:rPr>
              <w:t xml:space="preserve">Monitor and assess the organisation’s work in relation to the agreed strategy and budget, and agree alternative action to remedy shortfalls, if required. </w:t>
            </w:r>
            <w:r w:rsidRPr="00F62D49">
              <w:rPr>
                <w:rFonts w:asciiTheme="minorHAnsi" w:hAnsiTheme="minorHAnsi"/>
                <w:vanish/>
              </w:rPr>
              <w:t>in dents to represent their views and act on issues affecting them. ting your projects, policies and campaigns, consulting withYou f</w:t>
            </w:r>
          </w:p>
        </w:tc>
      </w:tr>
      <w:tr w:rsidR="000A6815" w:rsidRPr="003C740C" w14:paraId="523989D2" w14:textId="77777777" w:rsidTr="00AC2ABE">
        <w:trPr>
          <w:trHeight w:val="709"/>
        </w:trPr>
        <w:tc>
          <w:tcPr>
            <w:tcW w:w="10343" w:type="dxa"/>
            <w:vAlign w:val="center"/>
          </w:tcPr>
          <w:p w14:paraId="7D62CC03" w14:textId="77777777" w:rsidR="000A6815" w:rsidRPr="003C740C" w:rsidRDefault="000A6815" w:rsidP="00AC2ABE">
            <w:pPr>
              <w:pStyle w:val="ListParagraph"/>
              <w:numPr>
                <w:ilvl w:val="0"/>
                <w:numId w:val="31"/>
              </w:numPr>
              <w:jc w:val="left"/>
              <w:rPr>
                <w:rFonts w:asciiTheme="minorHAnsi" w:hAnsiTheme="minorHAnsi"/>
              </w:rPr>
            </w:pPr>
            <w:r w:rsidRPr="00F62D49">
              <w:rPr>
                <w:rFonts w:asciiTheme="minorHAnsi" w:hAnsiTheme="minorHAnsi"/>
              </w:rPr>
              <w:t>Maintain a robust overview of the principle risks facing the Students’ Association, and take action to mitigate these risk when required.</w:t>
            </w:r>
          </w:p>
        </w:tc>
      </w:tr>
    </w:tbl>
    <w:p w14:paraId="04692B83" w14:textId="77777777" w:rsidR="000A6815" w:rsidRPr="003C740C" w:rsidRDefault="000A6815" w:rsidP="000A6815">
      <w:pPr>
        <w:autoSpaceDE w:val="0"/>
        <w:autoSpaceDN w:val="0"/>
        <w:adjustRightInd w:val="0"/>
        <w:contextualSpacing/>
        <w:rPr>
          <w:rFonts w:cs="Arial"/>
          <w:sz w:val="22"/>
          <w:szCs w:val="22"/>
        </w:rPr>
      </w:pPr>
    </w:p>
    <w:tbl>
      <w:tblPr>
        <w:tblStyle w:val="TableGrid"/>
        <w:tblW w:w="10343" w:type="dxa"/>
        <w:tblLook w:val="04A0" w:firstRow="1" w:lastRow="0" w:firstColumn="1" w:lastColumn="0" w:noHBand="0" w:noVBand="1"/>
      </w:tblPr>
      <w:tblGrid>
        <w:gridCol w:w="10343"/>
      </w:tblGrid>
      <w:tr w:rsidR="000A6815" w:rsidRPr="003C740C" w14:paraId="73DA950B" w14:textId="77777777" w:rsidTr="00AC2ABE">
        <w:trPr>
          <w:trHeight w:val="468"/>
        </w:trPr>
        <w:tc>
          <w:tcPr>
            <w:tcW w:w="10343" w:type="dxa"/>
            <w:shd w:val="clear" w:color="auto" w:fill="002060"/>
            <w:vAlign w:val="center"/>
          </w:tcPr>
          <w:p w14:paraId="51B6FB7C" w14:textId="77777777" w:rsidR="000A6815" w:rsidRPr="003C740C" w:rsidRDefault="000A6815" w:rsidP="00AC2ABE">
            <w:pPr>
              <w:autoSpaceDE w:val="0"/>
              <w:autoSpaceDN w:val="0"/>
              <w:adjustRightInd w:val="0"/>
              <w:contextualSpacing/>
              <w:rPr>
                <w:rFonts w:asciiTheme="minorHAnsi" w:hAnsiTheme="minorHAnsi"/>
                <w:b/>
              </w:rPr>
            </w:pPr>
            <w:r w:rsidRPr="003C740C">
              <w:rPr>
                <w:rFonts w:asciiTheme="minorHAnsi" w:hAnsiTheme="minorHAnsi"/>
                <w:b/>
                <w:color w:val="FFFFFF" w:themeColor="background1"/>
              </w:rPr>
              <w:t>Executive Responsibilities – applies to the President, Vice-President, General Secretary, Treasurer</w:t>
            </w:r>
          </w:p>
        </w:tc>
      </w:tr>
      <w:tr w:rsidR="000A6815" w:rsidRPr="003C740C" w14:paraId="19F34C02" w14:textId="77777777" w:rsidTr="00AC2ABE">
        <w:trPr>
          <w:trHeight w:val="865"/>
        </w:trPr>
        <w:tc>
          <w:tcPr>
            <w:tcW w:w="10343" w:type="dxa"/>
            <w:vAlign w:val="center"/>
          </w:tcPr>
          <w:p w14:paraId="2394AE66" w14:textId="77777777" w:rsidR="000A6815" w:rsidRPr="003C740C" w:rsidRDefault="000A6815" w:rsidP="00AC2ABE">
            <w:pPr>
              <w:numPr>
                <w:ilvl w:val="0"/>
                <w:numId w:val="31"/>
              </w:numPr>
              <w:textAlignment w:val="center"/>
              <w:rPr>
                <w:rFonts w:asciiTheme="minorHAnsi" w:hAnsiTheme="minorHAnsi"/>
              </w:rPr>
            </w:pPr>
            <w:r w:rsidRPr="003C740C">
              <w:rPr>
                <w:rFonts w:asciiTheme="minorHAnsi" w:hAnsiTheme="minorHAnsi"/>
              </w:rPr>
              <w:t>Provide greater operational oversight to the organisation than the PRC, particularly involving legal issues, and those related to strategic direction, finance and risk management.</w:t>
            </w:r>
          </w:p>
        </w:tc>
      </w:tr>
      <w:tr w:rsidR="000A6815" w:rsidRPr="003C740C" w14:paraId="1312447C" w14:textId="77777777" w:rsidTr="00AC2ABE">
        <w:trPr>
          <w:trHeight w:val="552"/>
        </w:trPr>
        <w:tc>
          <w:tcPr>
            <w:tcW w:w="10343" w:type="dxa"/>
            <w:vAlign w:val="center"/>
          </w:tcPr>
          <w:p w14:paraId="25B7B11C" w14:textId="77777777" w:rsidR="000A6815" w:rsidRPr="003C740C" w:rsidRDefault="000A6815" w:rsidP="00AC2ABE">
            <w:pPr>
              <w:pStyle w:val="ListParagraph"/>
              <w:numPr>
                <w:ilvl w:val="0"/>
                <w:numId w:val="31"/>
              </w:numPr>
              <w:jc w:val="left"/>
              <w:rPr>
                <w:rFonts w:asciiTheme="minorHAnsi" w:hAnsiTheme="minorHAnsi"/>
              </w:rPr>
            </w:pPr>
            <w:r w:rsidRPr="003C740C">
              <w:rPr>
                <w:rFonts w:asciiTheme="minorHAnsi" w:hAnsiTheme="minorHAnsi"/>
              </w:rPr>
              <w:t>Ensure that the directives of the Council, and those approved at general meetings, are implemented.</w:t>
            </w:r>
          </w:p>
        </w:tc>
      </w:tr>
    </w:tbl>
    <w:p w14:paraId="3ED9FD33" w14:textId="77777777" w:rsidR="000A6815" w:rsidRPr="003C740C" w:rsidRDefault="000A6815" w:rsidP="000A6815">
      <w:pPr>
        <w:rPr>
          <w:b/>
        </w:rPr>
      </w:pPr>
    </w:p>
    <w:p w14:paraId="4BD35130" w14:textId="77777777" w:rsidR="000A6815" w:rsidRPr="003C740C" w:rsidRDefault="000A6815" w:rsidP="000A6815">
      <w:pPr>
        <w:rPr>
          <w:b/>
        </w:rPr>
      </w:pPr>
    </w:p>
    <w:p w14:paraId="04DE791B" w14:textId="77777777" w:rsidR="000A6815" w:rsidRPr="003C740C" w:rsidRDefault="000A6815" w:rsidP="000A6815">
      <w:pPr>
        <w:rPr>
          <w:b/>
        </w:rPr>
      </w:pPr>
      <w:r w:rsidRPr="003C740C">
        <w:rPr>
          <w:b/>
        </w:rPr>
        <w:t>Key relationships</w:t>
      </w:r>
    </w:p>
    <w:p w14:paraId="65D8AC0A" w14:textId="77777777" w:rsidR="000A6815" w:rsidRPr="003C740C" w:rsidRDefault="000A6815" w:rsidP="000A6815">
      <w:pPr>
        <w:rPr>
          <w:b/>
        </w:rPr>
      </w:pPr>
    </w:p>
    <w:p w14:paraId="444CF46B" w14:textId="77777777" w:rsidR="000A6815" w:rsidRPr="003C740C" w:rsidRDefault="000A6815" w:rsidP="000A6815">
      <w:pPr>
        <w:pStyle w:val="Default"/>
        <w:numPr>
          <w:ilvl w:val="0"/>
          <w:numId w:val="36"/>
        </w:numPr>
        <w:rPr>
          <w:rFonts w:asciiTheme="minorHAnsi" w:hAnsiTheme="minorHAnsi"/>
          <w:sz w:val="22"/>
          <w:szCs w:val="22"/>
        </w:rPr>
      </w:pPr>
      <w:r w:rsidRPr="003C740C">
        <w:rPr>
          <w:rFonts w:asciiTheme="minorHAnsi" w:hAnsiTheme="minorHAnsi"/>
          <w:b/>
          <w:sz w:val="22"/>
          <w:szCs w:val="22"/>
        </w:rPr>
        <w:t>PARSA:</w:t>
      </w:r>
      <w:r w:rsidRPr="003C740C">
        <w:rPr>
          <w:rFonts w:asciiTheme="minorHAnsi" w:hAnsiTheme="minorHAnsi"/>
          <w:sz w:val="22"/>
          <w:szCs w:val="22"/>
        </w:rPr>
        <w:t xml:space="preserve"> Executive Team, PRC, General Manager; Advocacy and Engagement Officer; other staff</w:t>
      </w:r>
    </w:p>
    <w:p w14:paraId="57497F37" w14:textId="77777777" w:rsidR="000A6815" w:rsidRPr="003C740C" w:rsidRDefault="000A6815" w:rsidP="000A6815">
      <w:pPr>
        <w:pStyle w:val="ListParagraph"/>
        <w:numPr>
          <w:ilvl w:val="0"/>
          <w:numId w:val="36"/>
        </w:numPr>
        <w:rPr>
          <w:sz w:val="22"/>
          <w:szCs w:val="22"/>
        </w:rPr>
      </w:pPr>
      <w:r w:rsidRPr="003C740C">
        <w:rPr>
          <w:b/>
          <w:sz w:val="22"/>
          <w:szCs w:val="22"/>
        </w:rPr>
        <w:t>Members:</w:t>
      </w:r>
      <w:r w:rsidRPr="003C740C">
        <w:rPr>
          <w:sz w:val="22"/>
          <w:szCs w:val="22"/>
        </w:rPr>
        <w:t xml:space="preserve"> Postgraduate Students </w:t>
      </w:r>
    </w:p>
    <w:p w14:paraId="39A252B9" w14:textId="77777777" w:rsidR="000A6815" w:rsidRPr="003C740C" w:rsidRDefault="000A6815" w:rsidP="000A6815">
      <w:pPr>
        <w:pStyle w:val="Default"/>
        <w:numPr>
          <w:ilvl w:val="0"/>
          <w:numId w:val="47"/>
        </w:numPr>
        <w:rPr>
          <w:rFonts w:asciiTheme="minorHAnsi" w:hAnsiTheme="minorHAnsi"/>
          <w:b/>
          <w:sz w:val="22"/>
          <w:szCs w:val="22"/>
        </w:rPr>
      </w:pPr>
      <w:r w:rsidRPr="003C740C">
        <w:rPr>
          <w:rFonts w:asciiTheme="minorHAnsi" w:hAnsiTheme="minorHAnsi"/>
          <w:b/>
          <w:sz w:val="22"/>
          <w:szCs w:val="22"/>
        </w:rPr>
        <w:t>University:</w:t>
      </w:r>
      <w:r w:rsidRPr="003C740C">
        <w:rPr>
          <w:rFonts w:asciiTheme="minorHAnsi" w:hAnsiTheme="minorHAnsi"/>
          <w:sz w:val="22"/>
          <w:szCs w:val="22"/>
        </w:rPr>
        <w:t xml:space="preserve"> </w:t>
      </w:r>
      <w:r w:rsidRPr="003C740C">
        <w:rPr>
          <w:rFonts w:asciiTheme="minorHAnsi" w:hAnsiTheme="minorHAnsi" w:cs="Times"/>
          <w:sz w:val="22"/>
          <w:szCs w:val="22"/>
        </w:rPr>
        <w:t xml:space="preserve">Vice Chancellor, Deputy Vice Chancellor (University Experience); Deputy Vice Chancellor (Academic); Dean of Students, </w:t>
      </w:r>
      <w:r w:rsidRPr="003C740C">
        <w:rPr>
          <w:rFonts w:asciiTheme="minorHAnsi" w:hAnsiTheme="minorHAnsi"/>
          <w:sz w:val="22"/>
          <w:szCs w:val="22"/>
        </w:rPr>
        <w:t>Head of Division of Student Life, Senior University Management and ANU staff at all levels.</w:t>
      </w:r>
    </w:p>
    <w:p w14:paraId="234C52B5" w14:textId="77777777" w:rsidR="000A6815" w:rsidRPr="003C740C" w:rsidRDefault="000A6815" w:rsidP="000A6815">
      <w:pPr>
        <w:pStyle w:val="Default"/>
        <w:numPr>
          <w:ilvl w:val="0"/>
          <w:numId w:val="36"/>
        </w:numPr>
        <w:jc w:val="both"/>
        <w:rPr>
          <w:rFonts w:asciiTheme="minorHAnsi" w:hAnsiTheme="minorHAnsi"/>
          <w:b/>
          <w:sz w:val="22"/>
          <w:szCs w:val="22"/>
        </w:rPr>
      </w:pPr>
      <w:r w:rsidRPr="003C740C">
        <w:rPr>
          <w:rFonts w:asciiTheme="minorHAnsi" w:hAnsiTheme="minorHAnsi" w:cs="Times"/>
          <w:b/>
          <w:sz w:val="22"/>
          <w:szCs w:val="22"/>
        </w:rPr>
        <w:t>External Organisations:</w:t>
      </w:r>
      <w:r w:rsidRPr="003C740C">
        <w:rPr>
          <w:rFonts w:asciiTheme="minorHAnsi" w:hAnsiTheme="minorHAnsi" w:cs="Times"/>
          <w:sz w:val="22"/>
          <w:szCs w:val="22"/>
        </w:rPr>
        <w:t xml:space="preserve"> ANUSA, </w:t>
      </w:r>
      <w:r w:rsidRPr="003C740C">
        <w:rPr>
          <w:rFonts w:asciiTheme="minorHAnsi" w:hAnsiTheme="minorHAnsi"/>
          <w:sz w:val="22"/>
          <w:szCs w:val="22"/>
        </w:rPr>
        <w:t xml:space="preserve">counterparts at other students’ associations, </w:t>
      </w:r>
      <w:r w:rsidRPr="003C740C">
        <w:rPr>
          <w:rFonts w:asciiTheme="minorHAnsi" w:hAnsiTheme="minorHAnsi" w:cs="Times"/>
          <w:sz w:val="22"/>
          <w:szCs w:val="22"/>
        </w:rPr>
        <w:t xml:space="preserve">Council of Australian Postgraduate Association (CAPA); Council of International Students’ Associations; </w:t>
      </w:r>
      <w:r w:rsidRPr="003C740C">
        <w:rPr>
          <w:rFonts w:asciiTheme="minorHAnsi" w:hAnsiTheme="minorHAnsi"/>
          <w:sz w:val="22"/>
          <w:szCs w:val="22"/>
        </w:rPr>
        <w:t>National Tertiary Education Union (NTEU); national, local and stud</w:t>
      </w:r>
      <w:r>
        <w:rPr>
          <w:rFonts w:asciiTheme="minorHAnsi" w:hAnsiTheme="minorHAnsi"/>
          <w:sz w:val="22"/>
          <w:szCs w:val="22"/>
        </w:rPr>
        <w:t>ent media; and public officials</w:t>
      </w:r>
    </w:p>
    <w:p w14:paraId="420DB8E1" w14:textId="77777777" w:rsidR="000A6815" w:rsidRPr="003C740C" w:rsidRDefault="000A6815" w:rsidP="000A6815">
      <w:pPr>
        <w:pStyle w:val="Default"/>
        <w:ind w:left="360"/>
        <w:rPr>
          <w:rFonts w:asciiTheme="minorHAnsi" w:hAnsiTheme="minorHAnsi"/>
          <w:b/>
          <w:sz w:val="22"/>
          <w:szCs w:val="22"/>
        </w:rPr>
      </w:pPr>
    </w:p>
    <w:p w14:paraId="237A6263" w14:textId="77777777" w:rsidR="000A6815" w:rsidRPr="003C740C" w:rsidRDefault="000A6815" w:rsidP="000A6815">
      <w:pPr>
        <w:rPr>
          <w:b/>
        </w:rPr>
      </w:pPr>
      <w:r w:rsidRPr="003C740C">
        <w:rPr>
          <w:b/>
        </w:rPr>
        <w:t>Training</w:t>
      </w:r>
    </w:p>
    <w:p w14:paraId="291D30DB" w14:textId="77777777" w:rsidR="000A6815" w:rsidRPr="003C740C" w:rsidRDefault="000A6815" w:rsidP="000A6815">
      <w:pPr>
        <w:rPr>
          <w:b/>
        </w:rPr>
      </w:pPr>
    </w:p>
    <w:p w14:paraId="5FE80092" w14:textId="77777777" w:rsidR="000A6815" w:rsidRPr="003C740C" w:rsidRDefault="000A6815" w:rsidP="000A6815">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 xml:space="preserve">Training and support will be provided by the Students’ Association staff, the outgoing Vice President, and external stakeholders, to ensure that you are fully equipped for the role. </w:t>
      </w:r>
    </w:p>
    <w:p w14:paraId="626AD806" w14:textId="77777777" w:rsidR="000A6815" w:rsidRPr="003C740C" w:rsidRDefault="000A6815" w:rsidP="000A6815">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Newly elected Executive Officers are required to attend the two-day Executive Changeover and Induction Residential, a one full-day SSAF budget planning session, the two-day PRC induction retreat, and financial and governance training provided by the University. These will all take place in the six-week handover period (August 2</w:t>
      </w:r>
      <w:r>
        <w:rPr>
          <w:rFonts w:cs="Times"/>
          <w:sz w:val="22"/>
          <w:szCs w:val="22"/>
          <w:lang w:val="en-GB"/>
        </w:rPr>
        <w:t>0-October 1).</w:t>
      </w:r>
      <w:r w:rsidRPr="003C740C">
        <w:rPr>
          <w:rFonts w:cs="Times"/>
          <w:sz w:val="22"/>
          <w:szCs w:val="22"/>
          <w:lang w:val="en-GB"/>
        </w:rPr>
        <w:t xml:space="preserve"> </w:t>
      </w:r>
    </w:p>
    <w:p w14:paraId="37EE491A" w14:textId="77777777" w:rsidR="000A6815" w:rsidRPr="003C740C" w:rsidRDefault="000A6815" w:rsidP="000A6815">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The Vice President will work closely with the General Manager and Advocacy and Engagement Officer, who will provide guidance, assistance and support immediately following the declaration of polls on both everyday procedural matters and wider finance, strategic, operations and public affairs issues.</w:t>
      </w:r>
    </w:p>
    <w:p w14:paraId="51217B02" w14:textId="20FBE845" w:rsidR="00B017A7" w:rsidRPr="000A6815" w:rsidRDefault="000A6815" w:rsidP="00380C7F">
      <w:pPr>
        <w:pStyle w:val="ListParagraph"/>
        <w:widowControl w:val="0"/>
        <w:numPr>
          <w:ilvl w:val="0"/>
          <w:numId w:val="25"/>
        </w:numPr>
        <w:autoSpaceDE w:val="0"/>
        <w:autoSpaceDN w:val="0"/>
        <w:adjustRightInd w:val="0"/>
        <w:jc w:val="left"/>
        <w:rPr>
          <w:rFonts w:cs="Times"/>
          <w:sz w:val="22"/>
          <w:szCs w:val="22"/>
          <w:lang w:val="en-GB"/>
        </w:rPr>
      </w:pPr>
      <w:r w:rsidRPr="003C740C">
        <w:rPr>
          <w:rFonts w:cs="Times"/>
          <w:sz w:val="22"/>
          <w:szCs w:val="22"/>
          <w:lang w:val="en-GB"/>
        </w:rPr>
        <w:t>Additional training and ongoing support is provided throughout the academic year.</w:t>
      </w:r>
    </w:p>
    <w:sectPr w:rsidR="00B017A7" w:rsidRPr="000A6815" w:rsidSect="007605EF">
      <w:headerReference w:type="default" r:id="rId10"/>
      <w:footerReference w:type="even" r:id="rId11"/>
      <w:footerReference w:type="first" r:id="rId12"/>
      <w:pgSz w:w="11900" w:h="16840"/>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E6BD" w14:textId="77777777" w:rsidR="00776F23" w:rsidRDefault="00776F23" w:rsidP="00182C17">
      <w:r>
        <w:separator/>
      </w:r>
    </w:p>
  </w:endnote>
  <w:endnote w:type="continuationSeparator" w:id="0">
    <w:p w14:paraId="56B6E97D" w14:textId="77777777" w:rsidR="00776F23" w:rsidRDefault="00776F23" w:rsidP="0018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705E" w14:textId="77777777" w:rsidR="00D73E48" w:rsidRDefault="00D73E48" w:rsidP="00CE1A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37341" w14:textId="77777777" w:rsidR="00D73E48" w:rsidRDefault="00D73E48" w:rsidP="00D73E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6396" w14:textId="77777777" w:rsidR="00CF1743" w:rsidRDefault="00CF1743" w:rsidP="00CF1743">
    <w:r>
      <w:rPr>
        <w:bCs/>
        <w:sz w:val="18"/>
        <w:szCs w:val="18"/>
      </w:rPr>
      <w:t xml:space="preserve">* The current PARSA Constitution provides for payment of honoraria to the President and, at the President’s discretion, to officers of the PRC.  Currently PARSA policy for payment of honoraria was agreed at the </w:t>
    </w:r>
    <w:hyperlink r:id="rId1" w:history="1">
      <w:r>
        <w:rPr>
          <w:rStyle w:val="Hyperlink"/>
          <w:bCs/>
          <w:sz w:val="18"/>
          <w:szCs w:val="18"/>
        </w:rPr>
        <w:t>September 26, 2016 PRC meeting</w:t>
      </w:r>
    </w:hyperlink>
    <w:r>
      <w:rPr>
        <w:bCs/>
        <w:sz w:val="18"/>
        <w:szCs w:val="18"/>
      </w:rPr>
      <w:t xml:space="preserve">. </w:t>
    </w:r>
    <w:r>
      <w:rPr>
        <w:sz w:val="18"/>
        <w:szCs w:val="18"/>
      </w:rPr>
      <w:t xml:space="preserve">Honoraria is provided to officers for going above and beyond their volunteer duties with the Association </w:t>
    </w:r>
    <w:r>
      <w:rPr>
        <w:bCs/>
        <w:sz w:val="18"/>
        <w:szCs w:val="18"/>
      </w:rPr>
      <w:t xml:space="preserve">and is not a legal entitlement of holding office. </w:t>
    </w:r>
    <w:r>
      <w:rPr>
        <w:sz w:val="18"/>
        <w:szCs w:val="18"/>
      </w:rPr>
      <w:t xml:space="preserve">PRC members who receive honoraria </w:t>
    </w:r>
    <w:r>
      <w:rPr>
        <w:bCs/>
        <w:sz w:val="18"/>
        <w:szCs w:val="18"/>
      </w:rPr>
      <w:t xml:space="preserve">do so in accordance with decisions of the President and PRC under the PARSA constitution and pursuant to honoraria powers in the Constitution. </w:t>
    </w:r>
  </w:p>
  <w:p w14:paraId="36BC71BB" w14:textId="77777777" w:rsidR="00527A0B" w:rsidRDefault="00527A0B" w:rsidP="00527A0B">
    <w:pPr>
      <w:rPr>
        <w:sz w:val="18"/>
        <w:szCs w:val="18"/>
      </w:rPr>
    </w:pPr>
  </w:p>
  <w:p w14:paraId="7663DB63" w14:textId="77777777" w:rsidR="00527A0B" w:rsidRDefault="00527A0B" w:rsidP="00527A0B">
    <w:pPr>
      <w:autoSpaceDE w:val="0"/>
      <w:autoSpaceDN w:val="0"/>
      <w:adjustRightInd w:val="0"/>
      <w:rPr>
        <w:rFonts w:cs="Arial"/>
        <w:sz w:val="18"/>
        <w:szCs w:val="18"/>
      </w:rPr>
    </w:pPr>
    <w:r>
      <w:rPr>
        <w:sz w:val="18"/>
        <w:szCs w:val="18"/>
      </w:rPr>
      <w:t>** The Executive is a committee of the PRC.</w:t>
    </w:r>
    <w:r>
      <w:rPr>
        <w:rFonts w:cs="Arial"/>
        <w:sz w:val="18"/>
        <w:szCs w:val="18"/>
      </w:rPr>
      <w:t xml:space="preserve"> </w:t>
    </w:r>
    <w:r>
      <w:rPr>
        <w:rFonts w:cs="Times"/>
        <w:sz w:val="18"/>
        <w:szCs w:val="18"/>
        <w:lang w:val="en-GB"/>
      </w:rPr>
      <w:t xml:space="preserve">The full PRC holds the Executive team members accountable for their decisions at PRC meetings, as does the membership at the Annual General Meeting. </w:t>
    </w:r>
    <w:r>
      <w:rPr>
        <w:rFonts w:cs="Arial"/>
        <w:sz w:val="18"/>
        <w:szCs w:val="18"/>
      </w:rPr>
      <w:t>Each member of the PRC is collectively responsible for any decision made by the Executive Team and their fellow Board members.</w:t>
    </w:r>
  </w:p>
  <w:p w14:paraId="578D4749" w14:textId="77777777" w:rsidR="00760EB5" w:rsidRPr="00527A0B" w:rsidRDefault="00760EB5" w:rsidP="0052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1C2A" w14:textId="77777777" w:rsidR="00776F23" w:rsidRDefault="00776F23" w:rsidP="00182C17">
      <w:r>
        <w:separator/>
      </w:r>
    </w:p>
  </w:footnote>
  <w:footnote w:type="continuationSeparator" w:id="0">
    <w:p w14:paraId="31F43E34" w14:textId="77777777" w:rsidR="00776F23" w:rsidRDefault="00776F23" w:rsidP="0018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7069" w14:textId="6831D69E" w:rsidR="00182C17" w:rsidRPr="00F834A3" w:rsidRDefault="00182C17" w:rsidP="00FE36F9">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6A3"/>
    <w:multiLevelType w:val="hybridMultilevel"/>
    <w:tmpl w:val="47CCA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F3EA5"/>
    <w:multiLevelType w:val="hybridMultilevel"/>
    <w:tmpl w:val="407C54FA"/>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83540"/>
    <w:multiLevelType w:val="hybridMultilevel"/>
    <w:tmpl w:val="4CA0290E"/>
    <w:lvl w:ilvl="0" w:tplc="25B86342">
      <w:start w:val="2"/>
      <w:numFmt w:val="bullet"/>
      <w:lvlText w:val=""/>
      <w:lvlJc w:val="left"/>
      <w:pPr>
        <w:ind w:left="1080" w:hanging="360"/>
      </w:pPr>
      <w:rPr>
        <w:rFonts w:ascii="Symbol" w:eastAsiaTheme="minorHAnsi" w:hAnsi="Symbol"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35D30"/>
    <w:multiLevelType w:val="hybridMultilevel"/>
    <w:tmpl w:val="96F6E41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EB407E"/>
    <w:multiLevelType w:val="hybridMultilevel"/>
    <w:tmpl w:val="2DC4245E"/>
    <w:lvl w:ilvl="0" w:tplc="25B86342">
      <w:start w:val="2"/>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8652D2"/>
    <w:multiLevelType w:val="hybridMultilevel"/>
    <w:tmpl w:val="0410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51FC"/>
    <w:multiLevelType w:val="hybridMultilevel"/>
    <w:tmpl w:val="EBF6E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0E5B95"/>
    <w:multiLevelType w:val="hybridMultilevel"/>
    <w:tmpl w:val="8E40B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E25C4"/>
    <w:multiLevelType w:val="hybridMultilevel"/>
    <w:tmpl w:val="2BC8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2E5A25"/>
    <w:multiLevelType w:val="hybridMultilevel"/>
    <w:tmpl w:val="BDFE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F5AAF"/>
    <w:multiLevelType w:val="hybridMultilevel"/>
    <w:tmpl w:val="70725550"/>
    <w:lvl w:ilvl="0" w:tplc="7476377E">
      <w:start w:val="1"/>
      <w:numFmt w:val="decimal"/>
      <w:lvlText w:val="(%1)"/>
      <w:lvlJc w:val="left"/>
      <w:pPr>
        <w:ind w:left="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A81590">
      <w:start w:val="1"/>
      <w:numFmt w:val="lowerLetter"/>
      <w:lvlText w:val="%2"/>
      <w:lvlJc w:val="left"/>
      <w:pPr>
        <w:ind w:left="1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70AE78">
      <w:start w:val="1"/>
      <w:numFmt w:val="lowerRoman"/>
      <w:lvlText w:val="%3"/>
      <w:lvlJc w:val="left"/>
      <w:pPr>
        <w:ind w:left="2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BAB672">
      <w:start w:val="1"/>
      <w:numFmt w:val="decimal"/>
      <w:lvlText w:val="%4"/>
      <w:lvlJc w:val="left"/>
      <w:pPr>
        <w:ind w:left="3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1495CA">
      <w:start w:val="1"/>
      <w:numFmt w:val="lowerLetter"/>
      <w:lvlText w:val="%5"/>
      <w:lvlJc w:val="left"/>
      <w:pPr>
        <w:ind w:left="39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FE5EE2">
      <w:start w:val="1"/>
      <w:numFmt w:val="lowerRoman"/>
      <w:lvlText w:val="%6"/>
      <w:lvlJc w:val="left"/>
      <w:pPr>
        <w:ind w:left="46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286C6C">
      <w:start w:val="1"/>
      <w:numFmt w:val="decimal"/>
      <w:lvlText w:val="%7"/>
      <w:lvlJc w:val="left"/>
      <w:pPr>
        <w:ind w:left="53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0CEDF6">
      <w:start w:val="1"/>
      <w:numFmt w:val="lowerLetter"/>
      <w:lvlText w:val="%8"/>
      <w:lvlJc w:val="left"/>
      <w:pPr>
        <w:ind w:left="6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10CB6C">
      <w:start w:val="1"/>
      <w:numFmt w:val="lowerRoman"/>
      <w:lvlText w:val="%9"/>
      <w:lvlJc w:val="left"/>
      <w:pPr>
        <w:ind w:left="6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3446B6E"/>
    <w:multiLevelType w:val="hybridMultilevel"/>
    <w:tmpl w:val="4DA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26043"/>
    <w:multiLevelType w:val="hybridMultilevel"/>
    <w:tmpl w:val="6A8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E349B"/>
    <w:multiLevelType w:val="hybridMultilevel"/>
    <w:tmpl w:val="9D0A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1A61D2"/>
    <w:multiLevelType w:val="hybridMultilevel"/>
    <w:tmpl w:val="E00CF0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0A6004"/>
    <w:multiLevelType w:val="hybridMultilevel"/>
    <w:tmpl w:val="720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B4633"/>
    <w:multiLevelType w:val="hybridMultilevel"/>
    <w:tmpl w:val="A64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57C4A"/>
    <w:multiLevelType w:val="hybridMultilevel"/>
    <w:tmpl w:val="7B362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042C29"/>
    <w:multiLevelType w:val="hybridMultilevel"/>
    <w:tmpl w:val="FECE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F7AF1"/>
    <w:multiLevelType w:val="hybridMultilevel"/>
    <w:tmpl w:val="7F8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D2BC8"/>
    <w:multiLevelType w:val="hybridMultilevel"/>
    <w:tmpl w:val="920A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0781C"/>
    <w:multiLevelType w:val="hybridMultilevel"/>
    <w:tmpl w:val="4A1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06B35"/>
    <w:multiLevelType w:val="hybridMultilevel"/>
    <w:tmpl w:val="1CFE870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47607668"/>
    <w:multiLevelType w:val="hybridMultilevel"/>
    <w:tmpl w:val="978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9347C"/>
    <w:multiLevelType w:val="hybridMultilevel"/>
    <w:tmpl w:val="829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F80DC5"/>
    <w:multiLevelType w:val="hybridMultilevel"/>
    <w:tmpl w:val="F7B8EA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573F5E84"/>
    <w:multiLevelType w:val="hybridMultilevel"/>
    <w:tmpl w:val="8B84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57AE5"/>
    <w:multiLevelType w:val="hybridMultilevel"/>
    <w:tmpl w:val="D5C2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8242DC"/>
    <w:multiLevelType w:val="hybridMultilevel"/>
    <w:tmpl w:val="BE9E2CBA"/>
    <w:lvl w:ilvl="0" w:tplc="8932AFF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826926"/>
    <w:multiLevelType w:val="hybridMultilevel"/>
    <w:tmpl w:val="42DC442E"/>
    <w:lvl w:ilvl="0" w:tplc="8A848536">
      <w:numFmt w:val="bullet"/>
      <w:lvlText w:val=""/>
      <w:lvlJc w:val="left"/>
      <w:pPr>
        <w:ind w:left="36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66236B"/>
    <w:multiLevelType w:val="hybridMultilevel"/>
    <w:tmpl w:val="258A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F68EF"/>
    <w:multiLevelType w:val="hybridMultilevel"/>
    <w:tmpl w:val="4F2A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F4A71"/>
    <w:multiLevelType w:val="hybridMultilevel"/>
    <w:tmpl w:val="3918B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B3595"/>
    <w:multiLevelType w:val="hybridMultilevel"/>
    <w:tmpl w:val="2A6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65B2F"/>
    <w:multiLevelType w:val="hybridMultilevel"/>
    <w:tmpl w:val="EA2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E2BFA"/>
    <w:multiLevelType w:val="hybridMultilevel"/>
    <w:tmpl w:val="C122B19C"/>
    <w:lvl w:ilvl="0" w:tplc="95C2DB84">
      <w:start w:val="1"/>
      <w:numFmt w:val="decimal"/>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3442D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D15C32"/>
    <w:multiLevelType w:val="hybridMultilevel"/>
    <w:tmpl w:val="68AA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122E49"/>
    <w:multiLevelType w:val="hybridMultilevel"/>
    <w:tmpl w:val="C7CC8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B93EED"/>
    <w:multiLevelType w:val="hybridMultilevel"/>
    <w:tmpl w:val="7B1A1C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913607"/>
    <w:multiLevelType w:val="hybridMultilevel"/>
    <w:tmpl w:val="CB78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A712B"/>
    <w:multiLevelType w:val="hybridMultilevel"/>
    <w:tmpl w:val="8346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39"/>
  </w:num>
  <w:num w:numId="3">
    <w:abstractNumId w:val="27"/>
  </w:num>
  <w:num w:numId="4">
    <w:abstractNumId w:val="12"/>
  </w:num>
  <w:num w:numId="5">
    <w:abstractNumId w:val="21"/>
  </w:num>
  <w:num w:numId="6">
    <w:abstractNumId w:val="8"/>
  </w:num>
  <w:num w:numId="7">
    <w:abstractNumId w:val="22"/>
  </w:num>
  <w:num w:numId="8">
    <w:abstractNumId w:val="23"/>
  </w:num>
  <w:num w:numId="9">
    <w:abstractNumId w:val="3"/>
  </w:num>
  <w:num w:numId="10">
    <w:abstractNumId w:val="20"/>
  </w:num>
  <w:num w:numId="11">
    <w:abstractNumId w:val="19"/>
  </w:num>
  <w:num w:numId="12">
    <w:abstractNumId w:val="32"/>
  </w:num>
  <w:num w:numId="13">
    <w:abstractNumId w:val="37"/>
  </w:num>
  <w:num w:numId="14">
    <w:abstractNumId w:val="33"/>
  </w:num>
  <w:num w:numId="15">
    <w:abstractNumId w:val="35"/>
  </w:num>
  <w:num w:numId="16">
    <w:abstractNumId w:val="36"/>
  </w:num>
  <w:num w:numId="17">
    <w:abstractNumId w:val="25"/>
  </w:num>
  <w:num w:numId="18">
    <w:abstractNumId w:val="28"/>
  </w:num>
  <w:num w:numId="19">
    <w:abstractNumId w:val="17"/>
  </w:num>
  <w:num w:numId="20">
    <w:abstractNumId w:val="42"/>
  </w:num>
  <w:num w:numId="21">
    <w:abstractNumId w:val="24"/>
  </w:num>
  <w:num w:numId="22">
    <w:abstractNumId w:val="15"/>
  </w:num>
  <w:num w:numId="23">
    <w:abstractNumId w:val="16"/>
  </w:num>
  <w:num w:numId="24">
    <w:abstractNumId w:val="14"/>
  </w:num>
  <w:num w:numId="25">
    <w:abstractNumId w:val="0"/>
  </w:num>
  <w:num w:numId="26">
    <w:abstractNumId w:val="41"/>
  </w:num>
  <w:num w:numId="27">
    <w:abstractNumId w:val="10"/>
  </w:num>
  <w:num w:numId="28">
    <w:abstractNumId w:val="6"/>
  </w:num>
  <w:num w:numId="29">
    <w:abstractNumId w:val="9"/>
  </w:num>
  <w:num w:numId="30">
    <w:abstractNumId w:val="43"/>
  </w:num>
  <w:num w:numId="31">
    <w:abstractNumId w:val="34"/>
  </w:num>
  <w:num w:numId="32">
    <w:abstractNumId w:val="13"/>
  </w:num>
  <w:num w:numId="33">
    <w:abstractNumId w:val="40"/>
  </w:num>
  <w:num w:numId="34">
    <w:abstractNumId w:val="29"/>
  </w:num>
  <w:num w:numId="35">
    <w:abstractNumId w:val="26"/>
  </w:num>
  <w:num w:numId="36">
    <w:abstractNumId w:val="7"/>
  </w:num>
  <w:num w:numId="37">
    <w:abstractNumId w:val="38"/>
  </w:num>
  <w:num w:numId="38">
    <w:abstractNumId w:val="1"/>
  </w:num>
  <w:num w:numId="39">
    <w:abstractNumId w:val="11"/>
  </w:num>
  <w:num w:numId="40">
    <w:abstractNumId w:val="30"/>
  </w:num>
  <w:num w:numId="41">
    <w:abstractNumId w:val="2"/>
  </w:num>
  <w:num w:numId="42">
    <w:abstractNumId w:val="5"/>
  </w:num>
  <w:num w:numId="43">
    <w:abstractNumId w:val="4"/>
  </w:num>
  <w:num w:numId="44">
    <w:abstractNumId w:val="18"/>
  </w:num>
  <w:num w:numId="45">
    <w:abstractNumId w:val="43"/>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17"/>
    <w:rsid w:val="00007314"/>
    <w:rsid w:val="00013C2F"/>
    <w:rsid w:val="00025F79"/>
    <w:rsid w:val="0004089F"/>
    <w:rsid w:val="00046F64"/>
    <w:rsid w:val="00062BEC"/>
    <w:rsid w:val="00072C31"/>
    <w:rsid w:val="000A6815"/>
    <w:rsid w:val="000B28D5"/>
    <w:rsid w:val="000E4EAA"/>
    <w:rsid w:val="000F7ABD"/>
    <w:rsid w:val="00104D3E"/>
    <w:rsid w:val="00106AA7"/>
    <w:rsid w:val="00120437"/>
    <w:rsid w:val="001208E8"/>
    <w:rsid w:val="0012566C"/>
    <w:rsid w:val="0017599A"/>
    <w:rsid w:val="00182C17"/>
    <w:rsid w:val="0018555C"/>
    <w:rsid w:val="00196FB2"/>
    <w:rsid w:val="001D2B03"/>
    <w:rsid w:val="001D68E3"/>
    <w:rsid w:val="001E5F74"/>
    <w:rsid w:val="001E6C4F"/>
    <w:rsid w:val="001E6E26"/>
    <w:rsid w:val="001F58EA"/>
    <w:rsid w:val="00200E7C"/>
    <w:rsid w:val="0020127B"/>
    <w:rsid w:val="0022269A"/>
    <w:rsid w:val="00225171"/>
    <w:rsid w:val="00226AA8"/>
    <w:rsid w:val="00226FDA"/>
    <w:rsid w:val="00242371"/>
    <w:rsid w:val="00253B32"/>
    <w:rsid w:val="00254129"/>
    <w:rsid w:val="002604DF"/>
    <w:rsid w:val="0029607C"/>
    <w:rsid w:val="002B77EC"/>
    <w:rsid w:val="002C5BB4"/>
    <w:rsid w:val="002D1872"/>
    <w:rsid w:val="002D1EB3"/>
    <w:rsid w:val="002D472B"/>
    <w:rsid w:val="002E05C7"/>
    <w:rsid w:val="002E654D"/>
    <w:rsid w:val="002F1029"/>
    <w:rsid w:val="002F6161"/>
    <w:rsid w:val="002F651B"/>
    <w:rsid w:val="00301BF1"/>
    <w:rsid w:val="003033D5"/>
    <w:rsid w:val="0030589F"/>
    <w:rsid w:val="00316C44"/>
    <w:rsid w:val="00317AEF"/>
    <w:rsid w:val="003307C0"/>
    <w:rsid w:val="00336152"/>
    <w:rsid w:val="00372498"/>
    <w:rsid w:val="00372918"/>
    <w:rsid w:val="00380C7F"/>
    <w:rsid w:val="0039017B"/>
    <w:rsid w:val="003A60F1"/>
    <w:rsid w:val="003C4CEC"/>
    <w:rsid w:val="003D1E1F"/>
    <w:rsid w:val="003F523D"/>
    <w:rsid w:val="004213DE"/>
    <w:rsid w:val="00445F81"/>
    <w:rsid w:val="00446D0F"/>
    <w:rsid w:val="004532A7"/>
    <w:rsid w:val="0045692A"/>
    <w:rsid w:val="00485479"/>
    <w:rsid w:val="0048595C"/>
    <w:rsid w:val="004A16AF"/>
    <w:rsid w:val="004A7B34"/>
    <w:rsid w:val="004A7C54"/>
    <w:rsid w:val="004D12DE"/>
    <w:rsid w:val="004D2BE4"/>
    <w:rsid w:val="004D486F"/>
    <w:rsid w:val="004F25DD"/>
    <w:rsid w:val="005020F2"/>
    <w:rsid w:val="00526EAD"/>
    <w:rsid w:val="00527A0B"/>
    <w:rsid w:val="00530EE2"/>
    <w:rsid w:val="00543382"/>
    <w:rsid w:val="005668D3"/>
    <w:rsid w:val="00594046"/>
    <w:rsid w:val="005A3B2D"/>
    <w:rsid w:val="005B2378"/>
    <w:rsid w:val="005B3EC0"/>
    <w:rsid w:val="005B6D1D"/>
    <w:rsid w:val="005C0C1E"/>
    <w:rsid w:val="005C6C8C"/>
    <w:rsid w:val="005D7CE5"/>
    <w:rsid w:val="005E098B"/>
    <w:rsid w:val="005F6725"/>
    <w:rsid w:val="00603134"/>
    <w:rsid w:val="006257E3"/>
    <w:rsid w:val="006315FA"/>
    <w:rsid w:val="00633B5D"/>
    <w:rsid w:val="0063459A"/>
    <w:rsid w:val="00643C5A"/>
    <w:rsid w:val="00646BF2"/>
    <w:rsid w:val="00674258"/>
    <w:rsid w:val="0068352F"/>
    <w:rsid w:val="006C35D3"/>
    <w:rsid w:val="006E6856"/>
    <w:rsid w:val="00704956"/>
    <w:rsid w:val="00715F63"/>
    <w:rsid w:val="007272C7"/>
    <w:rsid w:val="00731C38"/>
    <w:rsid w:val="00734DB0"/>
    <w:rsid w:val="007605EF"/>
    <w:rsid w:val="00760EB5"/>
    <w:rsid w:val="0076115E"/>
    <w:rsid w:val="0076287B"/>
    <w:rsid w:val="00767001"/>
    <w:rsid w:val="00776F23"/>
    <w:rsid w:val="00781E27"/>
    <w:rsid w:val="00783F71"/>
    <w:rsid w:val="007A4AED"/>
    <w:rsid w:val="007B5F0D"/>
    <w:rsid w:val="007C2C9D"/>
    <w:rsid w:val="007D729A"/>
    <w:rsid w:val="007E499A"/>
    <w:rsid w:val="007F482D"/>
    <w:rsid w:val="007F7C71"/>
    <w:rsid w:val="00830C82"/>
    <w:rsid w:val="00847E98"/>
    <w:rsid w:val="008523A9"/>
    <w:rsid w:val="008610A1"/>
    <w:rsid w:val="008710ED"/>
    <w:rsid w:val="008742EA"/>
    <w:rsid w:val="00896905"/>
    <w:rsid w:val="008A3F1A"/>
    <w:rsid w:val="008B1C9A"/>
    <w:rsid w:val="008B26D7"/>
    <w:rsid w:val="008C2A0D"/>
    <w:rsid w:val="008D0DB2"/>
    <w:rsid w:val="008D779C"/>
    <w:rsid w:val="008F3D70"/>
    <w:rsid w:val="00915770"/>
    <w:rsid w:val="009220E4"/>
    <w:rsid w:val="0093142B"/>
    <w:rsid w:val="009400DB"/>
    <w:rsid w:val="00945DFA"/>
    <w:rsid w:val="00971822"/>
    <w:rsid w:val="00973C6E"/>
    <w:rsid w:val="00976B73"/>
    <w:rsid w:val="009B02B0"/>
    <w:rsid w:val="009B6A4A"/>
    <w:rsid w:val="009D4228"/>
    <w:rsid w:val="009F1646"/>
    <w:rsid w:val="00A01EE5"/>
    <w:rsid w:val="00A02B37"/>
    <w:rsid w:val="00A11638"/>
    <w:rsid w:val="00A173A4"/>
    <w:rsid w:val="00A17657"/>
    <w:rsid w:val="00A21B98"/>
    <w:rsid w:val="00A26A4B"/>
    <w:rsid w:val="00A35B69"/>
    <w:rsid w:val="00A37720"/>
    <w:rsid w:val="00A50D20"/>
    <w:rsid w:val="00A53A32"/>
    <w:rsid w:val="00A6469A"/>
    <w:rsid w:val="00A66308"/>
    <w:rsid w:val="00A77BA2"/>
    <w:rsid w:val="00A944EF"/>
    <w:rsid w:val="00A964B3"/>
    <w:rsid w:val="00AA7DD4"/>
    <w:rsid w:val="00AC1495"/>
    <w:rsid w:val="00AD2AA0"/>
    <w:rsid w:val="00AE5246"/>
    <w:rsid w:val="00AF1E2E"/>
    <w:rsid w:val="00B017A7"/>
    <w:rsid w:val="00B01E58"/>
    <w:rsid w:val="00B10330"/>
    <w:rsid w:val="00B16406"/>
    <w:rsid w:val="00B23243"/>
    <w:rsid w:val="00B2337E"/>
    <w:rsid w:val="00B25FD2"/>
    <w:rsid w:val="00B35044"/>
    <w:rsid w:val="00B37C92"/>
    <w:rsid w:val="00B430E0"/>
    <w:rsid w:val="00B63BEA"/>
    <w:rsid w:val="00B72A2F"/>
    <w:rsid w:val="00BA0225"/>
    <w:rsid w:val="00BA0801"/>
    <w:rsid w:val="00BA17BE"/>
    <w:rsid w:val="00BB260D"/>
    <w:rsid w:val="00BC214C"/>
    <w:rsid w:val="00BD5DA9"/>
    <w:rsid w:val="00BE7692"/>
    <w:rsid w:val="00BF4687"/>
    <w:rsid w:val="00BF707B"/>
    <w:rsid w:val="00C01B35"/>
    <w:rsid w:val="00C33827"/>
    <w:rsid w:val="00C42795"/>
    <w:rsid w:val="00C44373"/>
    <w:rsid w:val="00C75287"/>
    <w:rsid w:val="00C9101D"/>
    <w:rsid w:val="00CB1CDA"/>
    <w:rsid w:val="00CB4041"/>
    <w:rsid w:val="00CC4125"/>
    <w:rsid w:val="00CC4F80"/>
    <w:rsid w:val="00CC6C52"/>
    <w:rsid w:val="00CC7CC8"/>
    <w:rsid w:val="00CD72B8"/>
    <w:rsid w:val="00CE404F"/>
    <w:rsid w:val="00CF1743"/>
    <w:rsid w:val="00CF2173"/>
    <w:rsid w:val="00CF3F06"/>
    <w:rsid w:val="00CF4587"/>
    <w:rsid w:val="00D14C5A"/>
    <w:rsid w:val="00D161D5"/>
    <w:rsid w:val="00D30973"/>
    <w:rsid w:val="00D44340"/>
    <w:rsid w:val="00D5255D"/>
    <w:rsid w:val="00D5491A"/>
    <w:rsid w:val="00D640A6"/>
    <w:rsid w:val="00D66CF2"/>
    <w:rsid w:val="00D73E48"/>
    <w:rsid w:val="00D85567"/>
    <w:rsid w:val="00DA36B6"/>
    <w:rsid w:val="00DC226F"/>
    <w:rsid w:val="00DC5259"/>
    <w:rsid w:val="00DE15C1"/>
    <w:rsid w:val="00DF2AAC"/>
    <w:rsid w:val="00E033D9"/>
    <w:rsid w:val="00E03546"/>
    <w:rsid w:val="00E11263"/>
    <w:rsid w:val="00E31B06"/>
    <w:rsid w:val="00E32F51"/>
    <w:rsid w:val="00E36504"/>
    <w:rsid w:val="00E60B32"/>
    <w:rsid w:val="00E8566B"/>
    <w:rsid w:val="00E94F82"/>
    <w:rsid w:val="00EC410D"/>
    <w:rsid w:val="00ED2042"/>
    <w:rsid w:val="00ED25A3"/>
    <w:rsid w:val="00ED2D5F"/>
    <w:rsid w:val="00EE07E7"/>
    <w:rsid w:val="00EE4C7D"/>
    <w:rsid w:val="00EE7172"/>
    <w:rsid w:val="00EF10FD"/>
    <w:rsid w:val="00F10F96"/>
    <w:rsid w:val="00F2026E"/>
    <w:rsid w:val="00F2249C"/>
    <w:rsid w:val="00F26C8A"/>
    <w:rsid w:val="00F30576"/>
    <w:rsid w:val="00F30F49"/>
    <w:rsid w:val="00F721E6"/>
    <w:rsid w:val="00F834A3"/>
    <w:rsid w:val="00F85F92"/>
    <w:rsid w:val="00F86C12"/>
    <w:rsid w:val="00FC30CD"/>
    <w:rsid w:val="00FD0C72"/>
    <w:rsid w:val="00FE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customStyle="1" w:styleId="HeaderChar">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customStyle="1" w:styleId="FooterChar">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eastAsiaTheme="minorEastAsia" w:hAnsi="Helvetica Neue" w:cs="Arial"/>
      <w:color w:val="00000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qFormat/>
    <w:rsid w:val="00674258"/>
    <w:pPr>
      <w:spacing w:after="120" w:line="312" w:lineRule="auto"/>
    </w:pPr>
    <w:rPr>
      <w:rFonts w:ascii="Helvetica Neue" w:eastAsia="Times New Roman" w:hAnsi="Helvetica Neue" w:cs="Arial"/>
      <w:b/>
      <w:bCs/>
      <w:color w:val="FF0000"/>
      <w:sz w:val="32"/>
      <w:szCs w:val="32"/>
      <w:lang w:val="en-GB"/>
    </w:rPr>
  </w:style>
  <w:style w:type="character" w:customStyle="1" w:styleId="Heading1Char">
    <w:name w:val="Heading 1 Char"/>
    <w:basedOn w:val="DefaultParagraphFont"/>
    <w:link w:val="Heading1"/>
    <w:uiPriority w:val="9"/>
    <w:rsid w:val="003033D5"/>
    <w:rPr>
      <w:rFonts w:eastAsiaTheme="majorEastAsia" w:cstheme="majorBidi"/>
      <w:b/>
      <w:sz w:val="40"/>
      <w:szCs w:val="32"/>
    </w:rPr>
  </w:style>
  <w:style w:type="character" w:customStyle="1" w:styleId="Heading2Char">
    <w:name w:val="Heading 2 Char"/>
    <w:basedOn w:val="DefaultParagraphFont"/>
    <w:link w:val="Heading2"/>
    <w:uiPriority w:val="9"/>
    <w:rsid w:val="003033D5"/>
    <w:rPr>
      <w:rFonts w:eastAsiaTheme="majorEastAsia" w:cstheme="majorBidi"/>
      <w:b/>
      <w:sz w:val="32"/>
      <w:szCs w:val="26"/>
    </w:rPr>
  </w:style>
  <w:style w:type="character" w:customStyle="1" w:styleId="Heading3Char">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customStyle="1" w:styleId="FootnoteTextChar">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AA"/>
    <w:rPr>
      <w:rFonts w:ascii="Segoe UI" w:hAnsi="Segoe UI" w:cs="Segoe UI"/>
      <w:sz w:val="18"/>
      <w:szCs w:val="18"/>
    </w:rPr>
  </w:style>
  <w:style w:type="paragraph" w:customStyle="1" w:styleId="Default">
    <w:name w:val="Default"/>
    <w:rsid w:val="008B26D7"/>
    <w:pPr>
      <w:autoSpaceDE w:val="0"/>
      <w:autoSpaceDN w:val="0"/>
      <w:adjustRightInd w:val="0"/>
    </w:pPr>
    <w:rPr>
      <w:rFonts w:ascii="Arial" w:eastAsiaTheme="minorEastAsia" w:hAnsi="Arial" w:cs="Arial"/>
      <w:color w:val="000000"/>
      <w:lang w:val="en-GB"/>
    </w:rPr>
  </w:style>
  <w:style w:type="character" w:styleId="CommentReference">
    <w:name w:val="annotation reference"/>
    <w:basedOn w:val="DefaultParagraphFont"/>
    <w:uiPriority w:val="99"/>
    <w:semiHidden/>
    <w:unhideWhenUsed/>
    <w:rsid w:val="00DF2AAC"/>
    <w:rPr>
      <w:sz w:val="16"/>
      <w:szCs w:val="16"/>
    </w:rPr>
  </w:style>
  <w:style w:type="paragraph" w:styleId="CommentText">
    <w:name w:val="annotation text"/>
    <w:basedOn w:val="Normal"/>
    <w:link w:val="CommentTextChar"/>
    <w:uiPriority w:val="99"/>
    <w:semiHidden/>
    <w:unhideWhenUsed/>
    <w:rsid w:val="00DF2AAC"/>
    <w:rPr>
      <w:sz w:val="20"/>
      <w:szCs w:val="20"/>
    </w:rPr>
  </w:style>
  <w:style w:type="character" w:customStyle="1" w:styleId="CommentTextChar">
    <w:name w:val="Comment Text Char"/>
    <w:basedOn w:val="DefaultParagraphFont"/>
    <w:link w:val="CommentText"/>
    <w:uiPriority w:val="99"/>
    <w:semiHidden/>
    <w:rsid w:val="00DF2AAC"/>
    <w:rPr>
      <w:sz w:val="20"/>
      <w:szCs w:val="20"/>
    </w:rPr>
  </w:style>
  <w:style w:type="paragraph" w:styleId="CommentSubject">
    <w:name w:val="annotation subject"/>
    <w:basedOn w:val="CommentText"/>
    <w:next w:val="CommentText"/>
    <w:link w:val="CommentSubjectChar"/>
    <w:uiPriority w:val="99"/>
    <w:semiHidden/>
    <w:unhideWhenUsed/>
    <w:rsid w:val="00DF2AAC"/>
    <w:rPr>
      <w:b/>
      <w:bCs/>
    </w:rPr>
  </w:style>
  <w:style w:type="character" w:customStyle="1" w:styleId="CommentSubjectChar">
    <w:name w:val="Comment Subject Char"/>
    <w:basedOn w:val="CommentTextChar"/>
    <w:link w:val="CommentSubject"/>
    <w:uiPriority w:val="99"/>
    <w:semiHidden/>
    <w:rsid w:val="00DF2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433">
      <w:bodyDiv w:val="1"/>
      <w:marLeft w:val="0"/>
      <w:marRight w:val="0"/>
      <w:marTop w:val="0"/>
      <w:marBottom w:val="0"/>
      <w:divBdr>
        <w:top w:val="none" w:sz="0" w:space="0" w:color="auto"/>
        <w:left w:val="none" w:sz="0" w:space="0" w:color="auto"/>
        <w:bottom w:val="none" w:sz="0" w:space="0" w:color="auto"/>
        <w:right w:val="none" w:sz="0" w:space="0" w:color="auto"/>
      </w:divBdr>
    </w:div>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143592749">
      <w:bodyDiv w:val="1"/>
      <w:marLeft w:val="0"/>
      <w:marRight w:val="0"/>
      <w:marTop w:val="0"/>
      <w:marBottom w:val="0"/>
      <w:divBdr>
        <w:top w:val="none" w:sz="0" w:space="0" w:color="auto"/>
        <w:left w:val="none" w:sz="0" w:space="0" w:color="auto"/>
        <w:bottom w:val="none" w:sz="0" w:space="0" w:color="auto"/>
        <w:right w:val="none" w:sz="0" w:space="0" w:color="auto"/>
      </w:divBdr>
    </w:div>
    <w:div w:id="197591400">
      <w:bodyDiv w:val="1"/>
      <w:marLeft w:val="0"/>
      <w:marRight w:val="0"/>
      <w:marTop w:val="0"/>
      <w:marBottom w:val="0"/>
      <w:divBdr>
        <w:top w:val="none" w:sz="0" w:space="0" w:color="auto"/>
        <w:left w:val="none" w:sz="0" w:space="0" w:color="auto"/>
        <w:bottom w:val="none" w:sz="0" w:space="0" w:color="auto"/>
        <w:right w:val="none" w:sz="0" w:space="0" w:color="auto"/>
      </w:divBdr>
    </w:div>
    <w:div w:id="384523257">
      <w:bodyDiv w:val="1"/>
      <w:marLeft w:val="0"/>
      <w:marRight w:val="0"/>
      <w:marTop w:val="0"/>
      <w:marBottom w:val="0"/>
      <w:divBdr>
        <w:top w:val="none" w:sz="0" w:space="0" w:color="auto"/>
        <w:left w:val="none" w:sz="0" w:space="0" w:color="auto"/>
        <w:bottom w:val="none" w:sz="0" w:space="0" w:color="auto"/>
        <w:right w:val="none" w:sz="0" w:space="0" w:color="auto"/>
      </w:divBdr>
    </w:div>
    <w:div w:id="560364362">
      <w:bodyDiv w:val="1"/>
      <w:marLeft w:val="0"/>
      <w:marRight w:val="0"/>
      <w:marTop w:val="0"/>
      <w:marBottom w:val="0"/>
      <w:divBdr>
        <w:top w:val="none" w:sz="0" w:space="0" w:color="auto"/>
        <w:left w:val="none" w:sz="0" w:space="0" w:color="auto"/>
        <w:bottom w:val="none" w:sz="0" w:space="0" w:color="auto"/>
        <w:right w:val="none" w:sz="0" w:space="0" w:color="auto"/>
      </w:divBdr>
    </w:div>
    <w:div w:id="844512088">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933634190">
      <w:bodyDiv w:val="1"/>
      <w:marLeft w:val="0"/>
      <w:marRight w:val="0"/>
      <w:marTop w:val="0"/>
      <w:marBottom w:val="0"/>
      <w:divBdr>
        <w:top w:val="none" w:sz="0" w:space="0" w:color="auto"/>
        <w:left w:val="none" w:sz="0" w:space="0" w:color="auto"/>
        <w:bottom w:val="none" w:sz="0" w:space="0" w:color="auto"/>
        <w:right w:val="none" w:sz="0" w:space="0" w:color="auto"/>
      </w:divBdr>
    </w:div>
    <w:div w:id="1341661987">
      <w:bodyDiv w:val="1"/>
      <w:marLeft w:val="0"/>
      <w:marRight w:val="0"/>
      <w:marTop w:val="0"/>
      <w:marBottom w:val="0"/>
      <w:divBdr>
        <w:top w:val="none" w:sz="0" w:space="0" w:color="auto"/>
        <w:left w:val="none" w:sz="0" w:space="0" w:color="auto"/>
        <w:bottom w:val="none" w:sz="0" w:space="0" w:color="auto"/>
        <w:right w:val="none" w:sz="0" w:space="0" w:color="auto"/>
      </w:divBdr>
    </w:div>
    <w:div w:id="1393188217">
      <w:bodyDiv w:val="1"/>
      <w:marLeft w:val="0"/>
      <w:marRight w:val="0"/>
      <w:marTop w:val="0"/>
      <w:marBottom w:val="0"/>
      <w:divBdr>
        <w:top w:val="none" w:sz="0" w:space="0" w:color="auto"/>
        <w:left w:val="none" w:sz="0" w:space="0" w:color="auto"/>
        <w:bottom w:val="none" w:sz="0" w:space="0" w:color="auto"/>
        <w:right w:val="none" w:sz="0" w:space="0" w:color="auto"/>
      </w:divBdr>
    </w:div>
    <w:div w:id="1709842192">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1985161330">
      <w:bodyDiv w:val="1"/>
      <w:marLeft w:val="0"/>
      <w:marRight w:val="0"/>
      <w:marTop w:val="0"/>
      <w:marBottom w:val="0"/>
      <w:divBdr>
        <w:top w:val="none" w:sz="0" w:space="0" w:color="auto"/>
        <w:left w:val="none" w:sz="0" w:space="0" w:color="auto"/>
        <w:bottom w:val="none" w:sz="0" w:space="0" w:color="auto"/>
        <w:right w:val="none" w:sz="0" w:space="0" w:color="auto"/>
      </w:divBdr>
    </w:div>
    <w:div w:id="208830693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1504/~/incorporated-associ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sa.anu.edu.au/your-union/how-we-are-governed/2016-17minutesandrepor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gov.au/student-services-and-amenities-fe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arsa.anu.edu.au/pageassets/your-union/how-we-are-governed/2016-17-PRC-Meeting-2-minutes-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Shoaib</dc:creator>
  <cp:keywords/>
  <dc:description/>
  <cp:lastModifiedBy>Mike Heffron</cp:lastModifiedBy>
  <cp:revision>16</cp:revision>
  <cp:lastPrinted>2016-12-16T10:03:00Z</cp:lastPrinted>
  <dcterms:created xsi:type="dcterms:W3CDTF">2017-07-24T03:47:00Z</dcterms:created>
  <dcterms:modified xsi:type="dcterms:W3CDTF">2017-08-27T10:48:00Z</dcterms:modified>
</cp:coreProperties>
</file>